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54165187">
      <w:pPr>
        <w:spacing w:line="276"/>
      </w:pPr>
      <w:r>
        <w:rPr>
          <w:b/>
          <w:bCs/>
          <w:i/>
          <w:iCs/>
          <w:u w:val="single"/>
        </w:rPr>
        <w:t>Bold Italic Underline Demo</w:t>
      </w:r>
    </w:p>
    <w:p w14:paraId="D54B7D21">
      <w:r>
        <w:rPr>
          <w:b/>
          <w:bCs/>
          <w:i/>
          <w:iCs/>
          <w:u w:val="single"/>
        </w:rPr>
        <w:t>This document combines bold, italic, and underline formatting.</w:t>
      </w:r>
    </w:p>
    <w:p w14:paraId="C676AEAC">
      <w:r>
        <w:rPr>
          <w:b/>
          <w:bCs/>
          <w:i/>
          <w:iCs/>
          <w:u w:val="single"/>
        </w:rPr>
        <w:t>All three styles combined create maximum text emphasis.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2026-05-14T17:12:15.994Z</dcterms:created>
  <dcterms:modified xsi:type="dcterms:W3CDTF">2026-05-14T17:12:16.011Z</dcterms:modified>
</cp:coreProperties>
</file>