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Učitel odborných předmětů SŠ elektrotechnika</w:t>
      </w:r>
      <w:bookmarkEnd w:id="1"/>
    </w:p>
    <w:p>
      <w:pPr/>
      <w:r>
        <w:rPr/>
        <w:t xml:space="preserve">Jednotka práce bude aktualizována v souladu s platnou legislativou v průběhu roku 2013 – 2014.
Učitel odborných předmětů střední školy provádí vzdělávací a výchovnou činnost při vyučování odborných předmětů v oboru vzdělání Elektrotechnika, směřující k získávání vědomostí a dovedností žáků na střední škole, popřípadě ve třídách a na středních školách zřízených pro žáky se speciálními vzdělávacími potřebami.</w:t>
      </w:r>
    </w:p>
    <w:p/>
    <w:tbl>
      <w:tblGrid>
        <w:gridCol w:w="3000" w:type="dxa"/>
        <w:gridCol w:w="6000" w:type="dxa"/>
      </w:tblGrid>
      <w:tblPr>
        <w:jc w:val="start"/>
        <w:tblW w:w="0" w:type="auto"/>
        <w:tblCellSpacing w:w="50" w:type="dxa"/>
        <w:tblLayout w:type="autofit"/>
        <w:bidiVisual w:val="0"/>
        <w:tblCellMar>
          <w:top w:w="80" w:type="dxa"/>
          <w:left w:w="80" w:type="dxa"/>
          <w:right w:w="80" w:type="dxa"/>
          <w:bottom w:w="80" w:type="dxa"/>
        </w:tblCellMar>
      </w:tblPr>
      <w:tr>
        <w:trPr/>
        <w:tc>
          <w:tcPr>
            <w:tcW w:w="3000" w:type="dxa"/>
          </w:tcPr>
          <w:p>
            <w:pPr/>
            <w:r>
              <w:rPr>
                <w:b w:val="1"/>
                <w:bCs w:val="1"/>
              </w:rPr>
              <w:t xml:space="preserve">Odborný směr:</w:t>
            </w:r>
          </w:p>
        </w:tc>
        <w:tc>
          <w:tcPr>
            <w:tcW w:w="6000" w:type="dxa"/>
          </w:tcPr>
          <w:p>
            <w:pPr/>
            <w:r>
              <w:rPr/>
              <w:t xml:space="preserve">Věda, vzdělávání, sport</w:t>
            </w:r>
          </w:p>
        </w:tc>
      </w:tr>
      <w:tr>
        <w:trPr/>
        <w:tc>
          <w:tcPr/>
          <w:p>
            <w:pPr/>
            <w:r>
              <w:rPr>
                <w:b w:val="1"/>
                <w:bCs w:val="1"/>
              </w:rPr>
              <w:t xml:space="preserve">Odborný podsměr:</w:t>
            </w:r>
          </w:p>
        </w:tc>
        <w:tc>
          <w:tcPr/>
          <w:p>
            <w:pPr/>
            <w:r>
              <w:rPr/>
              <w:t xml:space="preserve">základní, střední a vyšší vzdělávání</w:t>
            </w:r>
          </w:p>
        </w:tc>
      </w:tr>
      <w:tr>
        <w:trPr/>
        <w:tc>
          <w:tcPr/>
          <w:p>
            <w:pPr/>
            <w:r>
              <w:rPr>
                <w:b w:val="1"/>
                <w:bCs w:val="1"/>
              </w:rPr>
              <w:t xml:space="preserve">Kvalifikační úroveň:</w:t>
            </w:r>
          </w:p>
        </w:tc>
        <w:tc>
          <w:tcPr/>
          <w:p>
            <w:pPr/>
            <w:r>
              <w:rPr/>
              <w:t xml:space="preserve">Magisterský studijní program</w:t>
            </w:r>
          </w:p>
        </w:tc>
      </w:tr>
      <w:tr>
        <w:trPr/>
        <w:tc>
          <w:tcPr/>
          <w:p>
            <w:pPr/>
            <w:r>
              <w:rPr>
                <w:b w:val="1"/>
                <w:bCs w:val="1"/>
              </w:rPr>
              <w:t xml:space="preserve">Alternativní názvy:</w:t>
            </w:r>
          </w:p>
        </w:tc>
        <w:tc>
          <w:tcPr/>
          <w:p>
            <w:pPr/>
            <w:r>
              <w:rPr/>
              <w:t xml:space="preserve">Pedagog, Učitel</w:t>
            </w:r>
          </w:p>
        </w:tc>
      </w:tr>
      <w:tr>
        <w:trPr/>
        <w:tc>
          <w:tcPr/>
          <w:p>
            <w:pPr/>
            <w:r>
              <w:rPr>
                <w:b w:val="1"/>
                <w:bCs w:val="1"/>
              </w:rPr>
              <w:t xml:space="preserve">Nadřízené povolání:</w:t>
            </w:r>
          </w:p>
        </w:tc>
        <w:tc>
          <w:tcPr/>
          <w:p>
            <w:pPr/>
            <w:r>
              <w:rPr/>
              <w:t xml:space="preserve">Učitel odborných předmětů střední školy</w:t>
            </w:r>
          </w:p>
        </w:tc>
      </w:tr>
      <w:tr>
        <w:trPr/>
        <w:tc>
          <w:tcPr/>
          <w:p>
            <w:pPr/>
            <w:r>
              <w:rPr>
                <w:b w:val="1"/>
                <w:bCs w:val="1"/>
              </w:rPr>
              <w:t xml:space="preserve">Příbuzné specializace:</w:t>
            </w:r>
          </w:p>
        </w:tc>
        <w:tc>
          <w:tcPr/>
          <w:p>
            <w:pPr/>
            <w:r>
              <w:rPr/>
              <w:t xml:space="preserve">Učitel odborných předmětů SŠ papírenské, Učitel odborných předmětů SŠ textilní, Učitel odborných předmětů SŠ obuvnictví, Učitel odborných předmětů SŠ dřevařské, Učitel odborných předmětů SŠ hutnictví, Učitel odborných předmětů SŠ potravinářství, Učitel odborných předmětů SŠ elektrotechnika, Učitel odborných předmětů SŠ stavebnictví, Učitel odborných předmětů SŠ zemědělství a lesy, Učitel odborných předmětů SŠ strojírenství</w:t>
            </w:r>
          </w:p>
        </w:tc>
      </w:tr>
      <w:tr>
        <w:trPr/>
        <w:tc>
          <w:tcPr/>
          <w:p>
            <w:pPr/>
            <w:r>
              <w:rPr>
                <w:b w:val="1"/>
                <w:bCs w:val="1"/>
              </w:rPr>
              <w:t xml:space="preserve">Regulovaná jednotka práce:</w:t>
            </w:r>
          </w:p>
        </w:tc>
        <w:tc>
          <w:tcPr/>
          <w:p>
            <w:pPr/>
            <w:r>
              <w:rPr/>
              <w:t xml:space="preserve">ne</w:t>
            </w:r>
          </w:p>
        </w:tc>
      </w:tr>
    </w:tbl>
    <w:p/>
    <w:p>
      <w:pPr>
        <w:pStyle w:val="Heading2"/>
      </w:pPr>
      <w:bookmarkStart w:id="2" w:name="_Toc2"/>
      <w:r>
        <w:t>Pracovní činnosti</w:t>
      </w:r>
      <w:bookmarkEnd w:id="2"/>
    </w:p>
    <w:p>
      <w:pPr>
        <w:numPr>
          <w:ilvl w:val="0"/>
          <w:numId w:val="5"/>
        </w:numPr>
      </w:pPr>
      <w:r>
        <w:rPr/>
        <w:t xml:space="preserve">Vzdělávání a výchova zaměřená na získávání vědomostí a dovedností žáků v odborných vyučovacích předmětech střední školy s odborným zaměřením na skupinu oborů vzdělání Elektrotechnika v rámci školního vzdělávacího programu, na jehož tvorbě se podílí.</w:t>
      </w:r>
    </w:p>
    <w:p>
      <w:pPr>
        <w:numPr>
          <w:ilvl w:val="0"/>
          <w:numId w:val="5"/>
        </w:numPr>
      </w:pPr>
      <w:r>
        <w:rPr/>
        <w:t xml:space="preserve">Tvorba a průběžná aktualizace pedagogické dokumentace nebo tvorba a aktualizace individuálních vzdělávacích plánů pro střední školu.</w:t>
      </w:r>
    </w:p>
    <w:p>
      <w:pPr>
        <w:numPr>
          <w:ilvl w:val="0"/>
          <w:numId w:val="5"/>
        </w:numPr>
      </w:pPr>
      <w:r>
        <w:rPr/>
        <w:t xml:space="preserve">Studium nových poznatků v oboru a jejich aplikace do vzdělávání v rámci školního vzdělávacího programu, popř. do individuálních vzdělávacích plánů.</w:t>
      </w:r>
    </w:p>
    <w:p>
      <w:pPr>
        <w:numPr>
          <w:ilvl w:val="0"/>
          <w:numId w:val="5"/>
        </w:numPr>
      </w:pPr>
      <w:r>
        <w:rPr/>
        <w:t xml:space="preserve">Vzdělávání formou speciální pedagogiky, které odpovídá úrovni znevýhodnění žáka s využitím speciálních metod, postupů, forem vzdělávání, učebních pomůcek, speciálních učebnic a didaktických materiálů, kompenzačních pomůcek.</w:t>
      </w:r>
    </w:p>
    <w:p>
      <w:pPr>
        <w:numPr>
          <w:ilvl w:val="0"/>
          <w:numId w:val="5"/>
        </w:numPr>
      </w:pPr>
      <w:r>
        <w:rPr/>
        <w:t xml:space="preserve">Vzdělávání nadaných žáků, podněcování osobního vývoje žáků, diskutování o jejich pokrocích s rodiči (zákonnými zástupci) a třídním učitelem a poskytování konzultací žákům.</w:t>
      </w:r>
    </w:p>
    <w:p>
      <w:pPr>
        <w:numPr>
          <w:ilvl w:val="0"/>
          <w:numId w:val="5"/>
        </w:numPr>
      </w:pPr>
      <w:r>
        <w:rPr/>
        <w:t xml:space="preserve">Hodnocení účinnosti vzdělávací a výchovné činnosti a nových vyučovacích postupů ve vzdělávání, plnění prací a úkolů souvisejících s přímou pedagogickou činností, včetně dohledu nad žáky.</w:t>
      </w:r>
    </w:p>
    <w:p>
      <w:pPr>
        <w:numPr>
          <w:ilvl w:val="0"/>
          <w:numId w:val="5"/>
        </w:numPr>
      </w:pPr>
      <w:r>
        <w:rPr/>
        <w:t xml:space="preserve">Příprava zpráv, hodnocení žáků a jejich klasifikace; vedení ročníkových a závěrečných prací žáků, vedení evidence o pedagogické činnosti a o výsledcích žáků.</w:t>
      </w:r>
    </w:p>
    <w:p>
      <w:pPr>
        <w:numPr>
          <w:ilvl w:val="0"/>
          <w:numId w:val="5"/>
        </w:numPr>
      </w:pPr>
      <w:r>
        <w:rPr/>
        <w:t xml:space="preserve">Komplexní vzdělávací a výchovná činnost, popř. specializovaná metodologická činnost v oblasti pedagogiky a psychologie.</w:t>
      </w:r>
    </w:p>
    <w:p>
      <w:pPr>
        <w:numPr>
          <w:ilvl w:val="0"/>
          <w:numId w:val="5"/>
        </w:numPr>
      </w:pPr>
      <w:r>
        <w:rPr/>
        <w:t xml:space="preserve">Vedení absolventských prací a jejich oponentura, vedení seminářů a cvičení, vedení evidence o pedagogické činnosti a o výsledcích studentů.</w:t>
      </w:r>
    </w:p>
    <w:p/>
    <w:p>
      <w:pPr>
        <w:pStyle w:val="Heading2"/>
      </w:pPr>
      <w:bookmarkStart w:id="3" w:name="_Toc3"/>
      <w:r>
        <w:t>CZ-ISCO</w:t>
      </w:r>
      <w:bookmarkEnd w:id="3"/>
    </w:p>
    <w:p>
      <w:pPr>
        <w:numPr>
          <w:ilvl w:val="0"/>
          <w:numId w:val="5"/>
        </w:numPr>
      </w:pPr>
      <w:r>
        <w:rPr/>
        <w:t xml:space="preserve">Učitelé odborných předmětů (kromě pro žáky se speciálními vzdělávacími potřebami)</w:t>
      </w:r>
    </w:p>
    <w:p>
      <w:pPr>
        <w:numPr>
          <w:ilvl w:val="0"/>
          <w:numId w:val="5"/>
        </w:numPr>
      </w:pPr>
      <w:r>
        <w:rPr/>
        <w:t xml:space="preserve">Učitelé odborných předmětů, praktického vyučování, odborného výcviku (kromě pro žáky se speciálními vzdělávacími potřebami) a lektoři dalšího vzdělávání</w:t>
      </w:r>
    </w:p>
    <w:p/>
    <w:p>
      <w:pPr>
        <w:pStyle w:val="Heading3"/>
      </w:pPr>
      <w:bookmarkStart w:id="4" w:name="_Toc4"/>
      <w:r>
        <w:t>Hrubé měsíční mzdy podle krajů v roce 2020</w:t>
      </w:r>
      <w:bookmarkEnd w:id="4"/>
    </w:p>
    <w:p>
      <w:pPr>
        <w:pStyle w:val="Heading4"/>
      </w:pPr>
      <w:bookmarkStart w:id="5" w:name="_Toc5"/>
      <w:r>
        <w:t>Učitelé odborných předmětů, praktického vyučování, odborného výcviku (kromě pro žáky se speciálními vzdělávacími potřebami) a lektoři dalšího vzdělávání (CZ-ISCO 2320)</w:t>
      </w:r>
      <w:bookmarkEnd w:id="5"/>
    </w:p>
    <w:tbl>
      <w:tblGrid>
        <w:gridCol w:w="2400" w:type="dxa"/>
        <w:gridCol w:w="1100" w:type="dxa"/>
        <w:gridCol w:w="1100" w:type="dxa"/>
        <w:gridCol w:w="1100" w:type="dxa"/>
        <w:gridCol w:w="1100" w:type="dxa"/>
        <w:gridCol w:w="1100" w:type="dxa"/>
        <w:gridCol w:w="1100" w:type="dxa"/>
      </w:tblGrid>
      <w:tblPr>
        <w:jc w:val="start"/>
        <w:tblW w:w="0" w:type="auto"/>
        <w:tblCellSpacing w:w="50" w:type="dxa"/>
        <w:tblLayout w:type="autofit"/>
        <w:bidiVisual w:val="0"/>
        <w:tblCellMar>
          <w:top w:w="80" w:type="dxa"/>
          <w:left w:w="80" w:type="dxa"/>
          <w:right w:w="80" w:type="dxa"/>
          <w:bottom w:w="80" w:type="dxa"/>
        </w:tblCellMar>
      </w:tblPr>
      <w:tr>
        <w:trPr/>
        <w:tc>
          <w:tcPr>
            <w:tcW w:w="2400" w:type="dxa"/>
          </w:tcPr>
          <w:p/>
        </w:tc>
        <w:tc>
          <w:tcPr>
            <w:tcW w:w="3300" w:type="dxa"/>
            <w:gridSpan w:val="3"/>
          </w:tcPr>
          <w:p>
            <w:pPr>
              <w:jc w:val="center"/>
            </w:pPr>
            <w:r>
              <w:rPr>
                <w:b w:val="1"/>
                <w:bCs w:val="1"/>
              </w:rPr>
              <w:t xml:space="preserve">Mzdová sféra</w:t>
            </w:r>
          </w:p>
        </w:tc>
        <w:tc>
          <w:tcPr>
            <w:tcW w:w="3300" w:type="dxa"/>
            <w:gridSpan w:val="3"/>
          </w:tcPr>
          <w:p>
            <w:pPr>
              <w:jc w:val="center"/>
            </w:pPr>
            <w:r>
              <w:rPr>
                <w:b w:val="1"/>
                <w:bCs w:val="1"/>
              </w:rPr>
              <w:t xml:space="preserve">Platová sféra</w:t>
            </w:r>
          </w:p>
        </w:tc>
      </w:tr>
      <w:tr>
        <w:trPr/>
        <w:tc>
          <w:tcPr>
            <w:tcW w:w="2400" w:type="dxa"/>
          </w:tcPr>
          <w:p>
            <w:pPr/>
            <w:r>
              <w:rPr>
                <w:b w:val="1"/>
                <w:bCs w:val="1"/>
              </w:rPr>
              <w:t xml:space="preserve">Kraj</w:t>
            </w:r>
          </w:p>
        </w:tc>
        <w:tc>
          <w:tcPr>
            <w:tcW w:w="1100" w:type="dxa"/>
          </w:tcPr>
          <w:p>
            <w:pPr>
              <w:jc w:val="center"/>
            </w:pPr>
            <w:r>
              <w:rPr>
                <w:b w:val="1"/>
                <w:bCs w:val="1"/>
              </w:rPr>
              <w:t xml:space="preserve">Od</w:t>
            </w:r>
          </w:p>
        </w:tc>
        <w:tc>
          <w:tcPr>
            <w:tcW w:w="1100" w:type="dxa"/>
          </w:tcPr>
          <w:p>
            <w:pPr>
              <w:jc w:val="center"/>
            </w:pPr>
            <w:r>
              <w:rPr>
                <w:b w:val="1"/>
                <w:bCs w:val="1"/>
              </w:rPr>
              <w:t xml:space="preserve">Medián</w:t>
            </w:r>
          </w:p>
        </w:tc>
        <w:tc>
          <w:tcPr>
            <w:tcW w:w="1100" w:type="dxa"/>
          </w:tcPr>
          <w:p>
            <w:pPr>
              <w:jc w:val="center"/>
            </w:pPr>
            <w:r>
              <w:rPr>
                <w:b w:val="1"/>
                <w:bCs w:val="1"/>
              </w:rPr>
              <w:t xml:space="preserve">Do</w:t>
            </w:r>
          </w:p>
        </w:tc>
        <w:tc>
          <w:tcPr>
            <w:tcW w:w="1100" w:type="dxa"/>
          </w:tcPr>
          <w:p>
            <w:pPr>
              <w:jc w:val="center"/>
            </w:pPr>
            <w:r>
              <w:rPr>
                <w:b w:val="1"/>
                <w:bCs w:val="1"/>
              </w:rPr>
              <w:t xml:space="preserve">Od</w:t>
            </w:r>
          </w:p>
        </w:tc>
        <w:tc>
          <w:tcPr>
            <w:tcW w:w="1100" w:type="dxa"/>
          </w:tcPr>
          <w:p>
            <w:pPr>
              <w:jc w:val="center"/>
            </w:pPr>
            <w:r>
              <w:rPr>
                <w:b w:val="1"/>
                <w:bCs w:val="1"/>
              </w:rPr>
              <w:t xml:space="preserve">Medián</w:t>
            </w:r>
          </w:p>
        </w:tc>
        <w:tc>
          <w:tcPr>
            <w:tcW w:w="1100" w:type="dxa"/>
          </w:tcPr>
          <w:p>
            <w:pPr>
              <w:jc w:val="center"/>
            </w:pPr>
            <w:r>
              <w:rPr>
                <w:b w:val="1"/>
                <w:bCs w:val="1"/>
              </w:rPr>
              <w:t xml:space="preserve">Do</w:t>
            </w:r>
          </w:p>
        </w:tc>
      </w:tr>
      <w:tr>
        <w:trPr/>
        <w:tc>
          <w:tcPr>
            <w:tcW w:w="2000" w:type="dxa"/>
          </w:tcPr>
          <w:p>
            <w:pPr/>
            <w:r>
              <w:rPr/>
              <w:t xml:space="preserve">Hlavní město Praha</w:t>
            </w:r>
          </w:p>
        </w:tc>
        <w:tc>
          <w:tcPr>
            <w:tcW w:w="1000" w:type="dxa"/>
          </w:tcPr>
          <w:p/>
        </w:tc>
        <w:tc>
          <w:tcPr>
            <w:tcW w:w="1000" w:type="dxa"/>
          </w:tcPr>
          <w:p/>
        </w:tc>
        <w:tc>
          <w:tcPr>
            <w:tcW w:w="1000" w:type="dxa"/>
          </w:tcPr>
          <w:p/>
        </w:tc>
        <w:tc>
          <w:tcPr>
            <w:tcW w:w="1000" w:type="dxa"/>
          </w:tcPr>
          <w:p>
            <w:pPr>
              <w:jc w:val="center"/>
            </w:pPr>
            <w:r>
              <w:rPr/>
              <w:t xml:space="preserve">38 712 Kč</w:t>
            </w:r>
          </w:p>
        </w:tc>
        <w:tc>
          <w:tcPr>
            <w:tcW w:w="1000" w:type="dxa"/>
          </w:tcPr>
          <w:p>
            <w:pPr>
              <w:jc w:val="center"/>
            </w:pPr>
            <w:r>
              <w:rPr/>
              <w:t xml:space="preserve">46 315 Kč</w:t>
            </w:r>
          </w:p>
        </w:tc>
        <w:tc>
          <w:tcPr>
            <w:tcW w:w="1000" w:type="dxa"/>
          </w:tcPr>
          <w:p>
            <w:pPr>
              <w:jc w:val="center"/>
            </w:pPr>
            <w:r>
              <w:rPr/>
              <w:t xml:space="preserve">55 773 Kč</w:t>
            </w:r>
          </w:p>
        </w:tc>
      </w:tr>
      <w:tr>
        <w:trPr/>
        <w:tc>
          <w:tcPr>
            <w:tcW w:w="2000" w:type="dxa"/>
          </w:tcPr>
          <w:p>
            <w:pPr/>
            <w:r>
              <w:rPr/>
              <w:t xml:space="preserve">Středočeský kraj</w:t>
            </w:r>
          </w:p>
        </w:tc>
        <w:tc>
          <w:tcPr>
            <w:tcW w:w="1000" w:type="dxa"/>
          </w:tcPr>
          <w:p/>
        </w:tc>
        <w:tc>
          <w:tcPr>
            <w:tcW w:w="1000" w:type="dxa"/>
          </w:tcPr>
          <w:p/>
        </w:tc>
        <w:tc>
          <w:tcPr>
            <w:tcW w:w="1000" w:type="dxa"/>
          </w:tcPr>
          <w:p/>
        </w:tc>
        <w:tc>
          <w:tcPr>
            <w:tcW w:w="1000" w:type="dxa"/>
          </w:tcPr>
          <w:p>
            <w:pPr>
              <w:jc w:val="center"/>
            </w:pPr>
            <w:r>
              <w:rPr/>
              <w:t xml:space="preserve">35 874 Kč</w:t>
            </w:r>
          </w:p>
        </w:tc>
        <w:tc>
          <w:tcPr>
            <w:tcW w:w="1000" w:type="dxa"/>
          </w:tcPr>
          <w:p>
            <w:pPr>
              <w:jc w:val="center"/>
            </w:pPr>
            <w:r>
              <w:rPr/>
              <w:t xml:space="preserve">43 206 Kč</w:t>
            </w:r>
          </w:p>
        </w:tc>
        <w:tc>
          <w:tcPr>
            <w:tcW w:w="1000" w:type="dxa"/>
          </w:tcPr>
          <w:p>
            <w:pPr>
              <w:jc w:val="center"/>
            </w:pPr>
            <w:r>
              <w:rPr/>
              <w:t xml:space="preserve">52 037 Kč</w:t>
            </w:r>
          </w:p>
        </w:tc>
      </w:tr>
      <w:tr>
        <w:trPr/>
        <w:tc>
          <w:tcPr>
            <w:tcW w:w="2000" w:type="dxa"/>
          </w:tcPr>
          <w:p>
            <w:pPr/>
            <w:r>
              <w:rPr/>
              <w:t xml:space="preserve">Jihočeský kraj</w:t>
            </w:r>
          </w:p>
        </w:tc>
        <w:tc>
          <w:tcPr>
            <w:tcW w:w="1000" w:type="dxa"/>
          </w:tcPr>
          <w:p/>
        </w:tc>
        <w:tc>
          <w:tcPr>
            <w:tcW w:w="1000" w:type="dxa"/>
          </w:tcPr>
          <w:p/>
        </w:tc>
        <w:tc>
          <w:tcPr>
            <w:tcW w:w="1000" w:type="dxa"/>
          </w:tcPr>
          <w:p/>
        </w:tc>
        <w:tc>
          <w:tcPr>
            <w:tcW w:w="1000" w:type="dxa"/>
          </w:tcPr>
          <w:p>
            <w:pPr>
              <w:jc w:val="center"/>
            </w:pPr>
            <w:r>
              <w:rPr/>
              <w:t xml:space="preserve">36 966 Kč</w:t>
            </w:r>
          </w:p>
        </w:tc>
        <w:tc>
          <w:tcPr>
            <w:tcW w:w="1000" w:type="dxa"/>
          </w:tcPr>
          <w:p>
            <w:pPr>
              <w:jc w:val="center"/>
            </w:pPr>
            <w:r>
              <w:rPr/>
              <w:t xml:space="preserve">44 018 Kč</w:t>
            </w:r>
          </w:p>
        </w:tc>
        <w:tc>
          <w:tcPr>
            <w:tcW w:w="1000" w:type="dxa"/>
          </w:tcPr>
          <w:p>
            <w:pPr>
              <w:jc w:val="center"/>
            </w:pPr>
            <w:r>
              <w:rPr/>
              <w:t xml:space="preserve">52 185 Kč</w:t>
            </w:r>
          </w:p>
        </w:tc>
      </w:tr>
      <w:tr>
        <w:trPr/>
        <w:tc>
          <w:tcPr>
            <w:tcW w:w="2000" w:type="dxa"/>
          </w:tcPr>
          <w:p>
            <w:pPr/>
            <w:r>
              <w:rPr/>
              <w:t xml:space="preserve">Plzeňský kraj</w:t>
            </w:r>
          </w:p>
        </w:tc>
        <w:tc>
          <w:tcPr>
            <w:tcW w:w="1000" w:type="dxa"/>
          </w:tcPr>
          <w:p/>
        </w:tc>
        <w:tc>
          <w:tcPr>
            <w:tcW w:w="1000" w:type="dxa"/>
          </w:tcPr>
          <w:p/>
        </w:tc>
        <w:tc>
          <w:tcPr>
            <w:tcW w:w="1000" w:type="dxa"/>
          </w:tcPr>
          <w:p/>
        </w:tc>
        <w:tc>
          <w:tcPr>
            <w:tcW w:w="1000" w:type="dxa"/>
          </w:tcPr>
          <w:p>
            <w:pPr>
              <w:jc w:val="center"/>
            </w:pPr>
            <w:r>
              <w:rPr/>
              <w:t xml:space="preserve">37 611 Kč</w:t>
            </w:r>
          </w:p>
        </w:tc>
        <w:tc>
          <w:tcPr>
            <w:tcW w:w="1000" w:type="dxa"/>
          </w:tcPr>
          <w:p>
            <w:pPr>
              <w:jc w:val="center"/>
            </w:pPr>
            <w:r>
              <w:rPr/>
              <w:t xml:space="preserve">44 872 Kč</w:t>
            </w:r>
          </w:p>
        </w:tc>
        <w:tc>
          <w:tcPr>
            <w:tcW w:w="1000" w:type="dxa"/>
          </w:tcPr>
          <w:p>
            <w:pPr>
              <w:jc w:val="center"/>
            </w:pPr>
            <w:r>
              <w:rPr/>
              <w:t xml:space="preserve">53 494 Kč</w:t>
            </w:r>
          </w:p>
        </w:tc>
      </w:tr>
      <w:tr>
        <w:trPr/>
        <w:tc>
          <w:tcPr>
            <w:tcW w:w="2000" w:type="dxa"/>
          </w:tcPr>
          <w:p>
            <w:pPr/>
            <w:r>
              <w:rPr/>
              <w:t xml:space="preserve">Karlovarský kraj</w:t>
            </w:r>
          </w:p>
        </w:tc>
        <w:tc>
          <w:tcPr>
            <w:tcW w:w="1000" w:type="dxa"/>
          </w:tcPr>
          <w:p/>
        </w:tc>
        <w:tc>
          <w:tcPr>
            <w:tcW w:w="1000" w:type="dxa"/>
          </w:tcPr>
          <w:p/>
        </w:tc>
        <w:tc>
          <w:tcPr>
            <w:tcW w:w="1000" w:type="dxa"/>
          </w:tcPr>
          <w:p/>
        </w:tc>
        <w:tc>
          <w:tcPr>
            <w:tcW w:w="1000" w:type="dxa"/>
          </w:tcPr>
          <w:p>
            <w:pPr>
              <w:jc w:val="center"/>
            </w:pPr>
            <w:r>
              <w:rPr/>
              <w:t xml:space="preserve">37 464 Kč</w:t>
            </w:r>
          </w:p>
        </w:tc>
        <w:tc>
          <w:tcPr>
            <w:tcW w:w="1000" w:type="dxa"/>
          </w:tcPr>
          <w:p>
            <w:pPr>
              <w:jc w:val="center"/>
            </w:pPr>
            <w:r>
              <w:rPr/>
              <w:t xml:space="preserve">43 542 Kč</w:t>
            </w:r>
          </w:p>
        </w:tc>
        <w:tc>
          <w:tcPr>
            <w:tcW w:w="1000" w:type="dxa"/>
          </w:tcPr>
          <w:p>
            <w:pPr>
              <w:jc w:val="center"/>
            </w:pPr>
            <w:r>
              <w:rPr/>
              <w:t xml:space="preserve">52 009 Kč</w:t>
            </w:r>
          </w:p>
        </w:tc>
      </w:tr>
      <w:tr>
        <w:trPr/>
        <w:tc>
          <w:tcPr>
            <w:tcW w:w="2000" w:type="dxa"/>
          </w:tcPr>
          <w:p>
            <w:pPr/>
            <w:r>
              <w:rPr/>
              <w:t xml:space="preserve">Ústecký kraj</w:t>
            </w:r>
          </w:p>
        </w:tc>
        <w:tc>
          <w:tcPr>
            <w:tcW w:w="1000" w:type="dxa"/>
          </w:tcPr>
          <w:p/>
        </w:tc>
        <w:tc>
          <w:tcPr>
            <w:tcW w:w="1000" w:type="dxa"/>
          </w:tcPr>
          <w:p/>
        </w:tc>
        <w:tc>
          <w:tcPr>
            <w:tcW w:w="1000" w:type="dxa"/>
          </w:tcPr>
          <w:p/>
        </w:tc>
        <w:tc>
          <w:tcPr>
            <w:tcW w:w="1000" w:type="dxa"/>
          </w:tcPr>
          <w:p>
            <w:pPr>
              <w:jc w:val="center"/>
            </w:pPr>
            <w:r>
              <w:rPr/>
              <w:t xml:space="preserve">35 537 Kč</w:t>
            </w:r>
          </w:p>
        </w:tc>
        <w:tc>
          <w:tcPr>
            <w:tcW w:w="1000" w:type="dxa"/>
          </w:tcPr>
          <w:p>
            <w:pPr>
              <w:jc w:val="center"/>
            </w:pPr>
            <w:r>
              <w:rPr/>
              <w:t xml:space="preserve">41 384 Kč</w:t>
            </w:r>
          </w:p>
        </w:tc>
        <w:tc>
          <w:tcPr>
            <w:tcW w:w="1000" w:type="dxa"/>
          </w:tcPr>
          <w:p>
            <w:pPr>
              <w:jc w:val="center"/>
            </w:pPr>
            <w:r>
              <w:rPr/>
              <w:t xml:space="preserve">51 157 Kč</w:t>
            </w:r>
          </w:p>
        </w:tc>
      </w:tr>
      <w:tr>
        <w:trPr/>
        <w:tc>
          <w:tcPr>
            <w:tcW w:w="2000" w:type="dxa"/>
          </w:tcPr>
          <w:p>
            <w:pPr/>
            <w:r>
              <w:rPr/>
              <w:t xml:space="preserve">Liberecký kraj</w:t>
            </w:r>
          </w:p>
        </w:tc>
        <w:tc>
          <w:tcPr>
            <w:tcW w:w="1000" w:type="dxa"/>
          </w:tcPr>
          <w:p/>
        </w:tc>
        <w:tc>
          <w:tcPr>
            <w:tcW w:w="1000" w:type="dxa"/>
          </w:tcPr>
          <w:p/>
        </w:tc>
        <w:tc>
          <w:tcPr>
            <w:tcW w:w="1000" w:type="dxa"/>
          </w:tcPr>
          <w:p/>
        </w:tc>
        <w:tc>
          <w:tcPr>
            <w:tcW w:w="1000" w:type="dxa"/>
          </w:tcPr>
          <w:p>
            <w:pPr>
              <w:jc w:val="center"/>
            </w:pPr>
            <w:r>
              <w:rPr/>
              <w:t xml:space="preserve">36 325 Kč</w:t>
            </w:r>
          </w:p>
        </w:tc>
        <w:tc>
          <w:tcPr>
            <w:tcW w:w="1000" w:type="dxa"/>
          </w:tcPr>
          <w:p>
            <w:pPr>
              <w:jc w:val="center"/>
            </w:pPr>
            <w:r>
              <w:rPr/>
              <w:t xml:space="preserve">42 561 Kč</w:t>
            </w:r>
          </w:p>
        </w:tc>
        <w:tc>
          <w:tcPr>
            <w:tcW w:w="1000" w:type="dxa"/>
          </w:tcPr>
          <w:p>
            <w:pPr>
              <w:jc w:val="center"/>
            </w:pPr>
            <w:r>
              <w:rPr/>
              <w:t xml:space="preserve">52 161 Kč</w:t>
            </w:r>
          </w:p>
        </w:tc>
      </w:tr>
      <w:tr>
        <w:trPr/>
        <w:tc>
          <w:tcPr>
            <w:tcW w:w="2000" w:type="dxa"/>
          </w:tcPr>
          <w:p>
            <w:pPr/>
            <w:r>
              <w:rPr/>
              <w:t xml:space="preserve">Královéhradecký kraj</w:t>
            </w:r>
          </w:p>
        </w:tc>
        <w:tc>
          <w:tcPr>
            <w:tcW w:w="1000" w:type="dxa"/>
          </w:tcPr>
          <w:p/>
        </w:tc>
        <w:tc>
          <w:tcPr>
            <w:tcW w:w="1000" w:type="dxa"/>
          </w:tcPr>
          <w:p/>
        </w:tc>
        <w:tc>
          <w:tcPr>
            <w:tcW w:w="1000" w:type="dxa"/>
          </w:tcPr>
          <w:p/>
        </w:tc>
        <w:tc>
          <w:tcPr>
            <w:tcW w:w="1000" w:type="dxa"/>
          </w:tcPr>
          <w:p>
            <w:pPr>
              <w:jc w:val="center"/>
            </w:pPr>
            <w:r>
              <w:rPr/>
              <w:t xml:space="preserve">36 206 Kč</w:t>
            </w:r>
          </w:p>
        </w:tc>
        <w:tc>
          <w:tcPr>
            <w:tcW w:w="1000" w:type="dxa"/>
          </w:tcPr>
          <w:p>
            <w:pPr>
              <w:jc w:val="center"/>
            </w:pPr>
            <w:r>
              <w:rPr/>
              <w:t xml:space="preserve">42 797 Kč</w:t>
            </w:r>
          </w:p>
        </w:tc>
        <w:tc>
          <w:tcPr>
            <w:tcW w:w="1000" w:type="dxa"/>
          </w:tcPr>
          <w:p>
            <w:pPr>
              <w:jc w:val="center"/>
            </w:pPr>
            <w:r>
              <w:rPr/>
              <w:t xml:space="preserve">51 111 Kč</w:t>
            </w:r>
          </w:p>
        </w:tc>
      </w:tr>
      <w:tr>
        <w:trPr/>
        <w:tc>
          <w:tcPr>
            <w:tcW w:w="2000" w:type="dxa"/>
          </w:tcPr>
          <w:p>
            <w:pPr/>
            <w:r>
              <w:rPr/>
              <w:t xml:space="preserve">Pardubický kraj</w:t>
            </w:r>
          </w:p>
        </w:tc>
        <w:tc>
          <w:tcPr>
            <w:tcW w:w="1000" w:type="dxa"/>
          </w:tcPr>
          <w:p/>
        </w:tc>
        <w:tc>
          <w:tcPr>
            <w:tcW w:w="1000" w:type="dxa"/>
          </w:tcPr>
          <w:p/>
        </w:tc>
        <w:tc>
          <w:tcPr>
            <w:tcW w:w="1000" w:type="dxa"/>
          </w:tcPr>
          <w:p/>
        </w:tc>
        <w:tc>
          <w:tcPr>
            <w:tcW w:w="1000" w:type="dxa"/>
          </w:tcPr>
          <w:p>
            <w:pPr>
              <w:jc w:val="center"/>
            </w:pPr>
            <w:r>
              <w:rPr/>
              <w:t xml:space="preserve">36 196 Kč</w:t>
            </w:r>
          </w:p>
        </w:tc>
        <w:tc>
          <w:tcPr>
            <w:tcW w:w="1000" w:type="dxa"/>
          </w:tcPr>
          <w:p>
            <w:pPr>
              <w:jc w:val="center"/>
            </w:pPr>
            <w:r>
              <w:rPr/>
              <w:t xml:space="preserve">42 203 Kč</w:t>
            </w:r>
          </w:p>
        </w:tc>
        <w:tc>
          <w:tcPr>
            <w:tcW w:w="1000" w:type="dxa"/>
          </w:tcPr>
          <w:p>
            <w:pPr>
              <w:jc w:val="center"/>
            </w:pPr>
            <w:r>
              <w:rPr/>
              <w:t xml:space="preserve">50 502 Kč</w:t>
            </w:r>
          </w:p>
        </w:tc>
      </w:tr>
      <w:tr>
        <w:trPr/>
        <w:tc>
          <w:tcPr>
            <w:tcW w:w="2000" w:type="dxa"/>
          </w:tcPr>
          <w:p>
            <w:pPr/>
            <w:r>
              <w:rPr/>
              <w:t xml:space="preserve">Kraj Vysočina</w:t>
            </w:r>
          </w:p>
        </w:tc>
        <w:tc>
          <w:tcPr>
            <w:tcW w:w="1000" w:type="dxa"/>
          </w:tcPr>
          <w:p/>
        </w:tc>
        <w:tc>
          <w:tcPr>
            <w:tcW w:w="1000" w:type="dxa"/>
          </w:tcPr>
          <w:p/>
        </w:tc>
        <w:tc>
          <w:tcPr>
            <w:tcW w:w="1000" w:type="dxa"/>
          </w:tcPr>
          <w:p/>
        </w:tc>
        <w:tc>
          <w:tcPr>
            <w:tcW w:w="1000" w:type="dxa"/>
          </w:tcPr>
          <w:p>
            <w:pPr>
              <w:jc w:val="center"/>
            </w:pPr>
            <w:r>
              <w:rPr/>
              <w:t xml:space="preserve">36 599 Kč</w:t>
            </w:r>
          </w:p>
        </w:tc>
        <w:tc>
          <w:tcPr>
            <w:tcW w:w="1000" w:type="dxa"/>
          </w:tcPr>
          <w:p>
            <w:pPr>
              <w:jc w:val="center"/>
            </w:pPr>
            <w:r>
              <w:rPr/>
              <w:t xml:space="preserve">44 971 Kč</w:t>
            </w:r>
          </w:p>
        </w:tc>
        <w:tc>
          <w:tcPr>
            <w:tcW w:w="1000" w:type="dxa"/>
          </w:tcPr>
          <w:p>
            <w:pPr>
              <w:jc w:val="center"/>
            </w:pPr>
            <w:r>
              <w:rPr/>
              <w:t xml:space="preserve">58 170 Kč</w:t>
            </w:r>
          </w:p>
        </w:tc>
      </w:tr>
      <w:tr>
        <w:trPr/>
        <w:tc>
          <w:tcPr>
            <w:tcW w:w="2000" w:type="dxa"/>
          </w:tcPr>
          <w:p>
            <w:pPr/>
            <w:r>
              <w:rPr/>
              <w:t xml:space="preserve">Jihomoravský kraj</w:t>
            </w:r>
          </w:p>
        </w:tc>
        <w:tc>
          <w:tcPr>
            <w:tcW w:w="1000" w:type="dxa"/>
          </w:tcPr>
          <w:p/>
        </w:tc>
        <w:tc>
          <w:tcPr>
            <w:tcW w:w="1000" w:type="dxa"/>
          </w:tcPr>
          <w:p/>
        </w:tc>
        <w:tc>
          <w:tcPr>
            <w:tcW w:w="1000" w:type="dxa"/>
          </w:tcPr>
          <w:p/>
        </w:tc>
        <w:tc>
          <w:tcPr>
            <w:tcW w:w="1000" w:type="dxa"/>
          </w:tcPr>
          <w:p>
            <w:pPr>
              <w:jc w:val="center"/>
            </w:pPr>
            <w:r>
              <w:rPr/>
              <w:t xml:space="preserve">36 116 Kč</w:t>
            </w:r>
          </w:p>
        </w:tc>
        <w:tc>
          <w:tcPr>
            <w:tcW w:w="1000" w:type="dxa"/>
          </w:tcPr>
          <w:p>
            <w:pPr>
              <w:jc w:val="center"/>
            </w:pPr>
            <w:r>
              <w:rPr/>
              <w:t xml:space="preserve">42 662 Kč</w:t>
            </w:r>
          </w:p>
        </w:tc>
        <w:tc>
          <w:tcPr>
            <w:tcW w:w="1000" w:type="dxa"/>
          </w:tcPr>
          <w:p>
            <w:pPr>
              <w:jc w:val="center"/>
            </w:pPr>
            <w:r>
              <w:rPr/>
              <w:t xml:space="preserve">51 487 Kč</w:t>
            </w:r>
          </w:p>
        </w:tc>
      </w:tr>
      <w:tr>
        <w:trPr/>
        <w:tc>
          <w:tcPr>
            <w:tcW w:w="2000" w:type="dxa"/>
          </w:tcPr>
          <w:p>
            <w:pPr/>
            <w:r>
              <w:rPr/>
              <w:t xml:space="preserve">Olomoucký kraj</w:t>
            </w:r>
          </w:p>
        </w:tc>
        <w:tc>
          <w:tcPr>
            <w:tcW w:w="1000" w:type="dxa"/>
          </w:tcPr>
          <w:p/>
        </w:tc>
        <w:tc>
          <w:tcPr>
            <w:tcW w:w="1000" w:type="dxa"/>
          </w:tcPr>
          <w:p/>
        </w:tc>
        <w:tc>
          <w:tcPr>
            <w:tcW w:w="1000" w:type="dxa"/>
          </w:tcPr>
          <w:p/>
        </w:tc>
        <w:tc>
          <w:tcPr>
            <w:tcW w:w="1000" w:type="dxa"/>
          </w:tcPr>
          <w:p>
            <w:pPr>
              <w:jc w:val="center"/>
            </w:pPr>
            <w:r>
              <w:rPr/>
              <w:t xml:space="preserve">35 450 Kč</w:t>
            </w:r>
          </w:p>
        </w:tc>
        <w:tc>
          <w:tcPr>
            <w:tcW w:w="1000" w:type="dxa"/>
          </w:tcPr>
          <w:p>
            <w:pPr>
              <w:jc w:val="center"/>
            </w:pPr>
            <w:r>
              <w:rPr/>
              <w:t xml:space="preserve">42 090 Kč</w:t>
            </w:r>
          </w:p>
        </w:tc>
        <w:tc>
          <w:tcPr>
            <w:tcW w:w="1000" w:type="dxa"/>
          </w:tcPr>
          <w:p>
            <w:pPr>
              <w:jc w:val="center"/>
            </w:pPr>
            <w:r>
              <w:rPr/>
              <w:t xml:space="preserve">50 508 Kč</w:t>
            </w:r>
          </w:p>
        </w:tc>
      </w:tr>
      <w:tr>
        <w:trPr/>
        <w:tc>
          <w:tcPr>
            <w:tcW w:w="2000" w:type="dxa"/>
          </w:tcPr>
          <w:p>
            <w:pPr/>
            <w:r>
              <w:rPr/>
              <w:t xml:space="preserve">Zlínský kraj</w:t>
            </w:r>
          </w:p>
        </w:tc>
        <w:tc>
          <w:tcPr>
            <w:tcW w:w="1000" w:type="dxa"/>
          </w:tcPr>
          <w:p/>
        </w:tc>
        <w:tc>
          <w:tcPr>
            <w:tcW w:w="1000" w:type="dxa"/>
          </w:tcPr>
          <w:p/>
        </w:tc>
        <w:tc>
          <w:tcPr>
            <w:tcW w:w="1000" w:type="dxa"/>
          </w:tcPr>
          <w:p/>
        </w:tc>
        <w:tc>
          <w:tcPr>
            <w:tcW w:w="1000" w:type="dxa"/>
          </w:tcPr>
          <w:p>
            <w:pPr>
              <w:jc w:val="center"/>
            </w:pPr>
            <w:r>
              <w:rPr/>
              <w:t xml:space="preserve">37 371 Kč</w:t>
            </w:r>
          </w:p>
        </w:tc>
        <w:tc>
          <w:tcPr>
            <w:tcW w:w="1000" w:type="dxa"/>
          </w:tcPr>
          <w:p>
            <w:pPr>
              <w:jc w:val="center"/>
            </w:pPr>
            <w:r>
              <w:rPr/>
              <w:t xml:space="preserve">44 645 Kč</w:t>
            </w:r>
          </w:p>
        </w:tc>
        <w:tc>
          <w:tcPr>
            <w:tcW w:w="1000" w:type="dxa"/>
          </w:tcPr>
          <w:p>
            <w:pPr>
              <w:jc w:val="center"/>
            </w:pPr>
            <w:r>
              <w:rPr/>
              <w:t xml:space="preserve">54 112 Kč</w:t>
            </w:r>
          </w:p>
        </w:tc>
      </w:tr>
      <w:tr>
        <w:trPr/>
        <w:tc>
          <w:tcPr>
            <w:tcW w:w="2000" w:type="dxa"/>
          </w:tcPr>
          <w:p>
            <w:pPr/>
            <w:r>
              <w:rPr/>
              <w:t xml:space="preserve">Moravskoslezský kraj</w:t>
            </w:r>
          </w:p>
        </w:tc>
        <w:tc>
          <w:tcPr>
            <w:tcW w:w="1000" w:type="dxa"/>
          </w:tcPr>
          <w:p/>
        </w:tc>
        <w:tc>
          <w:tcPr>
            <w:tcW w:w="1000" w:type="dxa"/>
          </w:tcPr>
          <w:p/>
        </w:tc>
        <w:tc>
          <w:tcPr>
            <w:tcW w:w="1000" w:type="dxa"/>
          </w:tcPr>
          <w:p/>
        </w:tc>
        <w:tc>
          <w:tcPr>
            <w:tcW w:w="1000" w:type="dxa"/>
          </w:tcPr>
          <w:p>
            <w:pPr>
              <w:jc w:val="center"/>
            </w:pPr>
            <w:r>
              <w:rPr/>
              <w:t xml:space="preserve">36 613 Kč</w:t>
            </w:r>
          </w:p>
        </w:tc>
        <w:tc>
          <w:tcPr>
            <w:tcW w:w="1000" w:type="dxa"/>
          </w:tcPr>
          <w:p>
            <w:pPr>
              <w:jc w:val="center"/>
            </w:pPr>
            <w:r>
              <w:rPr/>
              <w:t xml:space="preserve">44 316 Kč</w:t>
            </w:r>
          </w:p>
        </w:tc>
        <w:tc>
          <w:tcPr>
            <w:tcW w:w="1000" w:type="dxa"/>
          </w:tcPr>
          <w:p>
            <w:pPr>
              <w:jc w:val="center"/>
            </w:pPr>
            <w:r>
              <w:rPr/>
              <w:t xml:space="preserve">53 682 Kč</w:t>
            </w:r>
          </w:p>
        </w:tc>
      </w:tr>
    </w:tbl>
    <w:p/>
    <w:p>
      <w:pPr>
        <w:pStyle w:val="Heading3"/>
      </w:pPr>
      <w:bookmarkStart w:id="6" w:name="_Toc6"/>
      <w:r>
        <w:t>Hrubé měsíční mzdy v roce 2020 celkem</w:t>
      </w:r>
      <w:bookmarkEnd w:id="6"/>
    </w:p>
    <w:tbl>
      <w:tblGrid>
        <w:gridCol w:w="1000" w:type="dxa"/>
        <w:gridCol w:w="2000" w:type="dxa"/>
        <w:gridCol w:w="3000" w:type="dxa"/>
        <w:gridCol w:w="3000" w:type="dxa"/>
      </w:tblGrid>
      <w:tblPr>
        <w:jc w:val="start"/>
        <w:tblW w:w="0" w:type="auto"/>
        <w:tblCellSpacing w:w="50" w:type="dxa"/>
        <w:tblLayout w:type="autofit"/>
        <w:bidiVisual w:val="0"/>
        <w:tblCellMar>
          <w:top w:w="80" w:type="dxa"/>
          <w:left w:w="80" w:type="dxa"/>
          <w:right w:w="80" w:type="dxa"/>
          <w:bottom w:w="80" w:type="dxa"/>
        </w:tblCellMar>
      </w:tblPr>
      <w:tr>
        <w:trPr/>
        <w:tc>
          <w:tcPr>
            <w:tcW w:w="3000" w:type="dxa"/>
            <w:gridSpan w:val="2"/>
          </w:tcPr>
          <w:p/>
        </w:tc>
        <w:tc>
          <w:tcPr>
            <w:tcW w:w="6000" w:type="dxa"/>
            <w:gridSpan w:val="2"/>
          </w:tcPr>
          <w:p>
            <w:pPr>
              <w:jc w:val="center"/>
            </w:pPr>
            <w:r>
              <w:rPr>
                <w:b w:val="1"/>
                <w:bCs w:val="1"/>
              </w:rPr>
              <w:t xml:space="preserve">Medián za ČR celkem</w:t>
            </w:r>
          </w:p>
        </w:tc>
      </w:tr>
      <w:tr>
        <w:trPr/>
        <w:tc>
          <w:tcPr>
            <w:tcW w:w="1000" w:type="dxa"/>
          </w:tcPr>
          <w:p>
            <w:pPr/>
            <w:r>
              <w:rPr>
                <w:b w:val="1"/>
                <w:bCs w:val="1"/>
              </w:rPr>
              <w:t xml:space="preserve">CZ-ISCO</w:t>
            </w:r>
          </w:p>
        </w:tc>
        <w:tc>
          <w:tcPr>
            <w:tcW w:w="2000" w:type="dxa"/>
          </w:tcPr>
          <w:p/>
        </w:tc>
        <w:tc>
          <w:tcPr>
            <w:tcW w:w="3000" w:type="dxa"/>
          </w:tcPr>
          <w:p>
            <w:pPr>
              <w:jc w:val="center"/>
            </w:pPr>
            <w:r>
              <w:rPr>
                <w:b w:val="1"/>
                <w:bCs w:val="1"/>
              </w:rPr>
              <w:t xml:space="preserve">Mzdová sféra</w:t>
            </w:r>
          </w:p>
        </w:tc>
        <w:tc>
          <w:tcPr>
            <w:tcW w:w="3000" w:type="dxa"/>
          </w:tcPr>
          <w:p>
            <w:pPr>
              <w:jc w:val="center"/>
            </w:pPr>
            <w:r>
              <w:rPr>
                <w:b w:val="1"/>
                <w:bCs w:val="1"/>
              </w:rPr>
              <w:t xml:space="preserve">Platová sféra</w:t>
            </w:r>
          </w:p>
        </w:tc>
      </w:tr>
      <w:tr>
        <w:trPr/>
        <w:tc>
          <w:tcPr>
            <w:tcW w:w="1000" w:type="dxa"/>
          </w:tcPr>
          <w:p>
            <w:pPr>
              <w:jc w:val="center"/>
            </w:pPr>
            <w:r>
              <w:rPr/>
              <w:t xml:space="preserve">2320</w:t>
            </w:r>
          </w:p>
        </w:tc>
        <w:tc>
          <w:tcPr>
            <w:tcW w:w="2000" w:type="dxa"/>
          </w:tcPr>
          <w:p>
            <w:pPr/>
            <w:r>
              <w:rPr/>
              <w:t xml:space="preserve">Učitelé odborných předmětů, praktického vyučování, odborného výcviku (kromě pro žáky se speciálními vzdělávacími potřebami) a lektoři dalšího vzdělávání</w:t>
            </w:r>
          </w:p>
        </w:tc>
        <w:tc>
          <w:tcPr>
            <w:tcW w:w="1000" w:type="dxa"/>
          </w:tcPr>
          <w:p>
            <w:pPr>
              <w:jc w:val="center"/>
            </w:pPr>
            <w:r>
              <w:rPr/>
              <w:t xml:space="preserve">43 370 Kč</w:t>
            </w:r>
          </w:p>
        </w:tc>
        <w:tc>
          <w:tcPr>
            <w:tcW w:w="1000" w:type="dxa"/>
          </w:tcPr>
          <w:p>
            <w:pPr>
              <w:jc w:val="center"/>
            </w:pPr>
            <w:r>
              <w:rPr/>
              <w:t xml:space="preserve">38 910 Kč</w:t>
            </w:r>
          </w:p>
        </w:tc>
      </w:tr>
      <w:tr>
        <w:trPr/>
        <w:tc>
          <w:tcPr>
            <w:tcW w:w="1000" w:type="dxa"/>
          </w:tcPr>
          <w:p>
            <w:pPr>
              <w:jc w:val="center"/>
            </w:pPr>
            <w:r>
              <w:rPr/>
              <w:t xml:space="preserve">23201</w:t>
            </w:r>
          </w:p>
        </w:tc>
        <w:tc>
          <w:tcPr>
            <w:tcW w:w="2000" w:type="dxa"/>
          </w:tcPr>
          <w:p>
            <w:pPr/>
            <w:r>
              <w:rPr/>
              <w:t xml:space="preserve">Učitelé odborných předmětů (kromě pro žáky se speciálními vzdělávacími potřebami)</w:t>
            </w:r>
          </w:p>
        </w:tc>
        <w:tc>
          <w:tcPr>
            <w:tcW w:w="1000" w:type="dxa"/>
          </w:tcPr>
          <w:p>
            <w:pPr>
              <w:jc w:val="center"/>
            </w:pPr>
            <w:r>
              <w:rPr/>
              <w:t xml:space="preserve">46 044 Kč</w:t>
            </w:r>
          </w:p>
        </w:tc>
        <w:tc>
          <w:tcPr>
            <w:tcW w:w="1000" w:type="dxa"/>
          </w:tcPr>
          <w:p>
            <w:pPr>
              <w:jc w:val="center"/>
            </w:pPr>
            <w:r>
              <w:rPr/>
              <w:t xml:space="preserve">-</w:t>
            </w:r>
          </w:p>
        </w:tc>
      </w:tr>
    </w:tbl>
    <w:p/>
    <w:p>
      <w:pPr>
        <w:pStyle w:val="Heading2"/>
      </w:pPr>
      <w:bookmarkStart w:id="7" w:name="_Toc7"/>
      <w:r>
        <w:t>Pracovní podmínky</w:t>
      </w:r>
      <w:bookmarkEnd w:id="7"/>
    </w:p>
    <w:tbl>
      <w:tblGrid>
        <w:gridCol w:w="5000" w:type="dxa"/>
        <w:gridCol w:w="1000" w:type="dxa"/>
        <w:gridCol w:w="1000" w:type="dxa"/>
        <w:gridCol w:w="1000" w:type="dxa"/>
        <w:gridCol w:w="1000" w:type="dxa"/>
      </w:tblGrid>
      <w:tblPr>
        <w:jc w:val="start"/>
        <w:tblW w:w="0" w:type="auto"/>
        <w:tblCellSpacing w:w="50" w:type="dxa"/>
        <w:tblLayout w:type="autofit"/>
        <w:bidiVisual w:val="0"/>
        <w:tblCellMar>
          <w:top w:w="80" w:type="dxa"/>
          <w:left w:w="80" w:type="dxa"/>
          <w:right w:w="80" w:type="dxa"/>
          <w:bottom w:w="80" w:type="dxa"/>
        </w:tblCellMar>
      </w:tblPr>
      <w:tr>
        <w:trPr/>
        <w:tc>
          <w:tcPr>
            <w:tcW w:w="5000" w:type="dxa"/>
          </w:tcPr>
          <w:p>
            <w:pPr>
              <w:jc w:val="center"/>
            </w:pPr>
            <w:r>
              <w:rPr>
                <w:b w:val="1"/>
                <w:bCs w:val="1"/>
              </w:rPr>
              <w:t xml:space="preserve">Název</w:t>
            </w:r>
          </w:p>
        </w:tc>
        <w:tc>
          <w:tcPr>
            <w:tcW w:w="1000" w:type="dxa"/>
          </w:tcPr>
          <w:p>
            <w:pPr>
              <w:jc w:val="center"/>
            </w:pPr>
            <w:r>
              <w:rPr>
                <w:b w:val="1"/>
                <w:bCs w:val="1"/>
              </w:rPr>
              <w:t xml:space="preserve">1</w:t>
            </w:r>
          </w:p>
        </w:tc>
        <w:tc>
          <w:tcPr>
            <w:tcW w:w="1000" w:type="dxa"/>
          </w:tcPr>
          <w:p>
            <w:pPr>
              <w:jc w:val="center"/>
            </w:pPr>
            <w:r>
              <w:rPr>
                <w:b w:val="1"/>
                <w:bCs w:val="1"/>
              </w:rPr>
              <w:t xml:space="preserve">2</w:t>
            </w:r>
          </w:p>
        </w:tc>
        <w:tc>
          <w:tcPr>
            <w:tcW w:w="1000" w:type="dxa"/>
          </w:tcPr>
          <w:p>
            <w:pPr>
              <w:jc w:val="center"/>
            </w:pPr>
            <w:r>
              <w:rPr>
                <w:b w:val="1"/>
                <w:bCs w:val="1"/>
              </w:rPr>
              <w:t xml:space="preserve">3</w:t>
            </w:r>
          </w:p>
        </w:tc>
        <w:tc>
          <w:tcPr>
            <w:tcW w:w="1000" w:type="dxa"/>
          </w:tcPr>
          <w:p>
            <w:pPr>
              <w:jc w:val="center"/>
            </w:pPr>
            <w:r>
              <w:rPr>
                <w:b w:val="1"/>
                <w:bCs w:val="1"/>
              </w:rPr>
              <w:t xml:space="preserve">4</w:t>
            </w:r>
          </w:p>
        </w:tc>
      </w:tr>
      <w:tr>
        <w:trPr/>
        <w:tc>
          <w:tcPr>
            <w:tcW w:w="5000" w:type="dxa"/>
          </w:tcPr>
          <w:p>
            <w:pPr/>
            <w:r>
              <w:rPr/>
              <w:t xml:space="preserve">Duševní zátěž</w:t>
            </w:r>
          </w:p>
        </w:tc>
        <w:tc>
          <w:tcPr>
            <w:tcW w:w="1000" w:type="dxa"/>
          </w:tcPr>
          <w:p>
            <w:pPr/>
            <w:r>
              <w:rPr/>
              <w:t xml:space="preserve"/>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r>
      <w:tr>
        <w:trPr/>
        <w:tc>
          <w:tcPr>
            <w:tcW w:w="5000" w:type="dxa"/>
          </w:tcPr>
          <w:p>
            <w:pPr/>
            <w:r>
              <w:rPr/>
              <w:t xml:space="preserve">Zátěž teplem</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chladem</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hlukem</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vibracemi</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prachem</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chemickými látkami</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invazivními alergeny</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biologickými činiteli způsobujícími onemocnění</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ionizujícím zářením</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neionizujícím zářením a elektromagnetickým polem včetně laserů</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Zraková zátěž</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Celková fyzická zátěž</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trupu a páteře s převahou statické práce (manipulace s břemeny)</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Lokální zátěž - zátěž malých svalových skupin</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Lokální zátěž jemné motoriky</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prací v omezeném nebo uzavřeném prostoru</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Zátěž prací v nevhodných pracovních polohách</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Práce ve výškách</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Zvýšené riziko úrazu pracovníka</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Zvýšené riziko obecného ohrožení</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r>
        <w:trPr/>
        <w:tc>
          <w:tcPr>
            <w:tcW w:w="5000" w:type="dxa"/>
          </w:tcPr>
          <w:p>
            <w:pPr/>
            <w:r>
              <w:rPr/>
              <w:t xml:space="preserve">Pracovní doba, směnnost</w:t>
            </w:r>
          </w:p>
        </w:tc>
        <w:tc>
          <w:tcPr>
            <w:tcW w:w="1000" w:type="dxa"/>
          </w:tcPr>
          <w:p>
            <w:pPr>
              <w:jc w:val="center"/>
            </w:pPr>
            <w:r>
              <w:rPr/>
              <w:t xml:space="preserve">x</w:t>
            </w:r>
          </w:p>
        </w:tc>
        <w:tc>
          <w:tcPr>
            <w:tcW w:w="1000" w:type="dxa"/>
          </w:tcPr>
          <w:p>
            <w:pPr/>
            <w:r>
              <w:rPr/>
              <w:t xml:space="preserve"/>
            </w:r>
          </w:p>
        </w:tc>
        <w:tc>
          <w:tcPr>
            <w:tcW w:w="1000" w:type="dxa"/>
          </w:tcPr>
          <w:p>
            <w:pPr/>
            <w:r>
              <w:rPr/>
              <w:t xml:space="preserve"/>
            </w:r>
          </w:p>
        </w:tc>
        <w:tc>
          <w:tcPr>
            <w:tcW w:w="1000" w:type="dxa"/>
          </w:tcPr>
          <w:p>
            <w:pPr/>
            <w:r>
              <w:rPr/>
              <w:t xml:space="preserve"/>
            </w:r>
          </w:p>
        </w:tc>
      </w:tr>
    </w:tbl>
    <w:p/>
    <w:p>
      <w:pPr/>
      <w:r>
        <w:rPr>
          <w:sz w:val="16"/>
          <w:szCs w:val="16"/>
          <w:i w:val="1"/>
          <w:iCs w:val="1"/>
        </w:rPr>
        <w:t xml:space="preserve">Legenda:</w:t>
      </w:r>
    </w:p>
    <w:p>
      <w:pPr>
        <w:numPr>
          <w:ilvl w:val="0"/>
          <w:numId w:val="5"/>
        </w:numPr>
      </w:pPr>
      <w:r>
        <w:rPr>
          <w:sz w:val="16"/>
          <w:szCs w:val="16"/>
          <w:i w:val="1"/>
          <w:iCs w:val="1"/>
        </w:rPr>
        <w:t xml:space="preserve">1. Stupeň zátěže (minimální zdravotní riziko) - Faktor se při výkonu práce nevyskytuje nebo je zátěž faktorem minimální, vliv faktoru je ze zdravotního hlediska nevýznamný.</w:t>
      </w:r>
    </w:p>
    <w:p>
      <w:pPr>
        <w:numPr>
          <w:ilvl w:val="0"/>
          <w:numId w:val="5"/>
        </w:numPr>
      </w:pPr>
      <w:r>
        <w:rPr>
          <w:sz w:val="16"/>
          <w:szCs w:val="16"/>
          <w:i w:val="1"/>
          <w:iCs w:val="1"/>
        </w:rPr>
        <w:t xml:space="preserve">2. Stupeň zátěže (únosná míra zdravotního rizika) - Ze zdravotního hlediska je míra zátěže faktorem únosná, nepřekračuje limity stanovené předpisy, vliv faktoru je akceptovatelný pro zdravého člověka.</w:t>
      </w:r>
    </w:p>
    <w:p>
      <w:pPr>
        <w:numPr>
          <w:ilvl w:val="0"/>
          <w:numId w:val="5"/>
        </w:numPr>
      </w:pPr>
      <w:r>
        <w:rPr>
          <w:sz w:val="16"/>
          <w:szCs w:val="16"/>
          <w:i w:val="1"/>
          <w:iCs w:val="1"/>
        </w:rPr>
        <w:t xml:space="preserve">3. Stupeň zátěže (významná míra zdravotního rizika) - Úroveň zátěže překračuje stanovené limitní hodnoty expozice (zátěže), na pracovištích je nutná realizace náhradních technických a organizačních opatření, nelze vyloučit negativní vliv na zdraví pracovníků.</w:t>
      </w:r>
    </w:p>
    <w:p>
      <w:pPr>
        <w:numPr>
          <w:ilvl w:val="0"/>
          <w:numId w:val="5"/>
        </w:numPr>
      </w:pPr>
      <w:r>
        <w:rPr>
          <w:sz w:val="16"/>
          <w:szCs w:val="16"/>
          <w:i w:val="1"/>
          <w:iCs w:val="1"/>
        </w:rPr>
        <w:t xml:space="preserve">4. Stupeň zátěže (vysoká míra zdravotního rizika) - Úroveň zátěže vysoce překračuje stanovené limitní hodnoty expozice, na pracovištích musí být dodržován soubor preventivních opatření, častěji dochází k poškození zdraví.</w:t>
      </w:r>
    </w:p>
    <w:p/>
    <w:p/>
    <w:p>
      <w:pPr>
        <w:pStyle w:val="Heading2"/>
      </w:pPr>
      <w:bookmarkStart w:id="8" w:name="_Toc8"/>
      <w:r>
        <w:t>Kvalifikace k výkonu povolání</w:t>
      </w:r>
      <w:bookmarkEnd w:id="8"/>
    </w:p>
    <w:p>
      <w:pPr>
        <w:pStyle w:val="Heading3"/>
      </w:pPr>
      <w:bookmarkStart w:id="9" w:name="_Toc9"/>
      <w:r>
        <w:t>Školní vzdělání</w:t>
      </w:r>
      <w:bookmarkEnd w:id="9"/>
    </w:p>
    <w:p/>
    <w:p>
      <w:pPr>
        <w:pStyle w:val="Heading4"/>
      </w:pPr>
      <w:bookmarkStart w:id="10" w:name="_Toc10"/>
      <w:r>
        <w:t>Nejvhodnější školní přípravu poskytují obory:</w:t>
      </w:r>
      <w:bookmarkEnd w:id="10"/>
    </w:p>
    <w:tbl>
      <w:tblGrid>
        <w:gridCol w:w="2000" w:type="dxa"/>
        <w:gridCol w:w="5000" w:type="dxa"/>
        <w:gridCol w:w="2000" w:type="dxa"/>
      </w:tblGrid>
      <w:tblPr>
        <w:jc w:val="start"/>
        <w:tblW w:w="0" w:type="auto"/>
        <w:tblCellSpacing w:w="50" w:type="dxa"/>
        <w:tblLayout w:type="autofit"/>
        <w:bidiVisual w:val="0"/>
        <w:tblCellMar>
          <w:top w:w="80" w:type="dxa"/>
          <w:left w:w="80" w:type="dxa"/>
          <w:right w:w="80" w:type="dxa"/>
          <w:bottom w:w="80" w:type="dxa"/>
        </w:tblCellMar>
      </w:tblPr>
      <w:tr>
        <w:trPr/>
        <w:tc>
          <w:tcPr>
            <w:tcW w:w="2000" w:type="dxa"/>
          </w:tcPr>
          <w:p>
            <w:pPr>
              <w:jc w:val="center"/>
            </w:pPr>
            <w:r>
              <w:rPr>
                <w:b w:val="1"/>
                <w:bCs w:val="1"/>
              </w:rPr>
              <w:t xml:space="preserve">Typ</w:t>
            </w:r>
          </w:p>
        </w:tc>
        <w:tc>
          <w:tcPr>
            <w:tcW w:w="5000" w:type="dxa"/>
          </w:tcPr>
          <w:p>
            <w:pPr>
              <w:jc w:val="center"/>
            </w:pPr>
            <w:r>
              <w:rPr>
                <w:b w:val="1"/>
                <w:bCs w:val="1"/>
              </w:rPr>
              <w:t xml:space="preserve">Název</w:t>
            </w:r>
          </w:p>
        </w:tc>
        <w:tc>
          <w:tcPr>
            <w:tcW w:w="2000" w:type="dxa"/>
          </w:tcPr>
          <w:p>
            <w:pPr>
              <w:jc w:val="center"/>
            </w:pPr>
            <w:r>
              <w:rPr>
                <w:b w:val="1"/>
                <w:bCs w:val="1"/>
              </w:rPr>
              <w:t xml:space="preserve">Kód</w:t>
            </w:r>
          </w:p>
        </w:tc>
      </w:tr>
      <w:tr>
        <w:trPr/>
        <w:tc>
          <w:tcPr>
            <w:tcW w:w="2000" w:type="dxa"/>
          </w:tcPr>
          <w:p>
            <w:pPr>
              <w:jc w:val="center"/>
            </w:pPr>
            <w:r>
              <w:rPr/>
              <w:t xml:space="preserve">KKOV</w:t>
            </w:r>
          </w:p>
        </w:tc>
        <w:tc>
          <w:tcPr>
            <w:tcW w:w="5000" w:type="dxa"/>
          </w:tcPr>
          <w:p>
            <w:pPr/>
            <w:r>
              <w:rPr/>
              <w:t xml:space="preserve">Magisterský studijní program ve skupině oborů elektrotechnika, telekomunikační a výpočetní technika</w:t>
            </w:r>
          </w:p>
        </w:tc>
        <w:tc>
          <w:tcPr>
            <w:tcW w:w="2000" w:type="dxa"/>
          </w:tcPr>
          <w:p>
            <w:pPr>
              <w:jc w:val="center"/>
            </w:pPr>
            <w:r>
              <w:rPr/>
              <w:t xml:space="preserve">26xxT</w:t>
            </w:r>
          </w:p>
        </w:tc>
      </w:tr>
    </w:tbl>
    <w:p/>
    <w:p>
      <w:pPr>
        <w:pStyle w:val="Heading4"/>
      </w:pPr>
      <w:bookmarkStart w:id="11" w:name="_Toc11"/>
      <w:r>
        <w:t>Vhodnou školní přípravu poskytují také obory:</w:t>
      </w:r>
      <w:bookmarkEnd w:id="11"/>
    </w:p>
    <w:tbl>
      <w:tblGrid>
        <w:gridCol w:w="2000" w:type="dxa"/>
        <w:gridCol w:w="5000" w:type="dxa"/>
        <w:gridCol w:w="2000" w:type="dxa"/>
      </w:tblGrid>
      <w:tblPr>
        <w:jc w:val="start"/>
        <w:tblW w:w="0" w:type="auto"/>
        <w:tblCellSpacing w:w="50" w:type="dxa"/>
        <w:tblLayout w:type="autofit"/>
        <w:bidiVisual w:val="0"/>
        <w:tblCellMar>
          <w:top w:w="80" w:type="dxa"/>
          <w:left w:w="80" w:type="dxa"/>
          <w:right w:w="80" w:type="dxa"/>
          <w:bottom w:w="80" w:type="dxa"/>
        </w:tblCellMar>
      </w:tblPr>
      <w:tr>
        <w:trPr/>
        <w:tc>
          <w:tcPr>
            <w:tcW w:w="2000" w:type="dxa"/>
          </w:tcPr>
          <w:p>
            <w:pPr>
              <w:jc w:val="center"/>
            </w:pPr>
            <w:r>
              <w:rPr>
                <w:b w:val="1"/>
                <w:bCs w:val="1"/>
              </w:rPr>
              <w:t xml:space="preserve">Typ</w:t>
            </w:r>
          </w:p>
        </w:tc>
        <w:tc>
          <w:tcPr>
            <w:tcW w:w="5000" w:type="dxa"/>
          </w:tcPr>
          <w:p>
            <w:pPr>
              <w:jc w:val="center"/>
            </w:pPr>
            <w:r>
              <w:rPr>
                <w:b w:val="1"/>
                <w:bCs w:val="1"/>
              </w:rPr>
              <w:t xml:space="preserve">Název</w:t>
            </w:r>
          </w:p>
        </w:tc>
        <w:tc>
          <w:tcPr>
            <w:tcW w:w="2000" w:type="dxa"/>
          </w:tcPr>
          <w:p>
            <w:pPr>
              <w:jc w:val="center"/>
            </w:pPr>
            <w:r>
              <w:rPr>
                <w:b w:val="1"/>
                <w:bCs w:val="1"/>
              </w:rPr>
              <w:t xml:space="preserve">Kód</w:t>
            </w:r>
          </w:p>
        </w:tc>
      </w:tr>
    </w:tbl>
    <w:p/>
    <w:p>
      <w:pPr>
        <w:pStyle w:val="Heading2"/>
      </w:pPr>
      <w:bookmarkStart w:id="12" w:name="_Toc12"/>
      <w:r>
        <w:t>Kompetenční požadavky</w:t>
      </w:r>
      <w:bookmarkEnd w:id="12"/>
    </w:p>
    <w:p>
      <w:pPr>
        <w:pStyle w:val="Heading3"/>
      </w:pPr>
      <w:bookmarkStart w:id="13" w:name="_Toc13"/>
      <w:r>
        <w:t>Odborné dovednosti</w:t>
      </w:r>
      <w:bookmarkEnd w:id="13"/>
    </w:p>
    <w:tbl>
      <w:tblGrid>
        <w:gridCol w:w="2000" w:type="dxa"/>
        <w:gridCol w:w="3000" w:type="dxa"/>
        <w:gridCol w:w="2000" w:type="dxa"/>
        <w:gridCol w:w="2000" w:type="dxa"/>
      </w:tblGrid>
      <w:tblPr>
        <w:jc w:val="start"/>
        <w:tblW w:w="0" w:type="auto"/>
        <w:tblCellSpacing w:w="50" w:type="dxa"/>
        <w:tblLayout w:type="autofit"/>
        <w:bidiVisual w:val="0"/>
        <w:tblCellMar>
          <w:top w:w="80" w:type="dxa"/>
          <w:left w:w="80" w:type="dxa"/>
          <w:right w:w="80" w:type="dxa"/>
          <w:bottom w:w="80" w:type="dxa"/>
        </w:tblCellMar>
      </w:tblPr>
      <w:tr>
        <w:trPr/>
        <w:tc>
          <w:tcPr>
            <w:tcW w:w="2000" w:type="dxa"/>
          </w:tcPr>
          <w:p>
            <w:pPr>
              <w:jc w:val="center"/>
            </w:pPr>
            <w:r>
              <w:rPr>
                <w:b w:val="1"/>
                <w:bCs w:val="1"/>
              </w:rPr>
              <w:t xml:space="preserve">Kód</w:t>
            </w:r>
          </w:p>
        </w:tc>
        <w:tc>
          <w:tcPr>
            <w:tcW w:w="3000" w:type="dxa"/>
          </w:tcPr>
          <w:p>
            <w:pPr>
              <w:jc w:val="center"/>
            </w:pPr>
            <w:r>
              <w:rPr>
                <w:b w:val="1"/>
                <w:bCs w:val="1"/>
              </w:rPr>
              <w:t xml:space="preserve">Název</w:t>
            </w:r>
          </w:p>
        </w:tc>
        <w:tc>
          <w:tcPr>
            <w:tcW w:w="2000" w:type="dxa"/>
          </w:tcPr>
          <w:p>
            <w:pPr>
              <w:jc w:val="center"/>
            </w:pPr>
            <w:r>
              <w:rPr>
                <w:b w:val="1"/>
                <w:bCs w:val="1"/>
              </w:rPr>
              <w:t xml:space="preserve">Úroveň 1-8</w:t>
            </w:r>
          </w:p>
        </w:tc>
        <w:tc>
          <w:tcPr>
            <w:tcW w:w="2000" w:type="dxa"/>
          </w:tcPr>
          <w:p>
            <w:pPr/>
            <w:r>
              <w:rPr>
                <w:b w:val="1"/>
                <w:bCs w:val="1"/>
              </w:rPr>
              <w:t xml:space="preserve">Vhodnost</w:t>
            </w:r>
          </w:p>
        </w:tc>
      </w:tr>
      <w:tr>
        <w:trPr/>
        <w:tc>
          <w:tcPr>
            <w:tcW w:w="2000" w:type="dxa"/>
          </w:tcPr>
          <w:p>
            <w:pPr>
              <w:jc w:val="center"/>
            </w:pPr>
            <w:r>
              <w:rPr/>
              <w:t xml:space="preserve">j41.Z.5231</w:t>
            </w:r>
          </w:p>
        </w:tc>
        <w:tc>
          <w:tcPr>
            <w:tcW w:w="3000" w:type="dxa"/>
          </w:tcPr>
          <w:p>
            <w:pPr/>
            <w:r>
              <w:rPr/>
              <w:t xml:space="preserve">Spolupráce s výchovným poradcem</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j41.Z.5221</w:t>
            </w:r>
          </w:p>
        </w:tc>
        <w:tc>
          <w:tcPr>
            <w:tcW w:w="3000" w:type="dxa"/>
          </w:tcPr>
          <w:p>
            <w:pPr/>
            <w:r>
              <w:rPr/>
              <w:t xml:space="preserve">Vedení třídních schůzek a další spolupráce a komunikace s rodiči</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j41.C.6212</w:t>
            </w:r>
          </w:p>
        </w:tc>
        <w:tc>
          <w:tcPr>
            <w:tcW w:w="3000" w:type="dxa"/>
          </w:tcPr>
          <w:p>
            <w:pPr/>
            <w:r>
              <w:rPr/>
              <w:t xml:space="preserve">Vyučování formou příkladů, problémových situací, vedení k vlastnímu objevování, organizace samostatné činnosti žáků (studentů)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j41.D.2211</w:t>
            </w:r>
          </w:p>
        </w:tc>
        <w:tc>
          <w:tcPr>
            <w:tcW w:w="3000" w:type="dxa"/>
          </w:tcPr>
          <w:p>
            <w:pPr/>
            <w:r>
              <w:rPr/>
              <w:t xml:space="preserve">Rozložení učebních osnov a vzdělávacích cílů do jednotlivých témat a úkonů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j41.D.2212</w:t>
            </w:r>
          </w:p>
        </w:tc>
        <w:tc>
          <w:tcPr>
            <w:tcW w:w="3000" w:type="dxa"/>
          </w:tcPr>
          <w:p>
            <w:pPr/>
            <w:r>
              <w:rPr/>
              <w:t xml:space="preserve">Rozpracování vyučovacích témat a úkonů do příprav pro jednotlivé vyučovací hodiny</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j41.D.7211</w:t>
            </w:r>
          </w:p>
        </w:tc>
        <w:tc>
          <w:tcPr>
            <w:tcW w:w="3000" w:type="dxa"/>
          </w:tcPr>
          <w:p>
            <w:pPr/>
            <w:r>
              <w:rPr/>
              <w:t xml:space="preserve">Úpravy obsahu učiva podle změn ve vývoji vědy a techniky, podle zaměření podniků v místě školy, apod.</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j41.C.6211</w:t>
            </w:r>
          </w:p>
        </w:tc>
        <w:tc>
          <w:tcPr>
            <w:tcW w:w="3000" w:type="dxa"/>
          </w:tcPr>
          <w:p>
            <w:pPr/>
            <w:r>
              <w:rPr/>
              <w:t xml:space="preserve">Provádění výkladu nové látky a její přizpůsobení schopnostem žáků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j41.C.6221</w:t>
            </w:r>
          </w:p>
        </w:tc>
        <w:tc>
          <w:tcPr>
            <w:tcW w:w="3000" w:type="dxa"/>
          </w:tcPr>
          <w:p>
            <w:pPr/>
            <w:r>
              <w:rPr/>
              <w:t xml:space="preserve">Motivování k zájmu o učivo, samostatné činnosti a podpora zvídavosti a spolupráce</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j41.C.6311</w:t>
            </w:r>
          </w:p>
        </w:tc>
        <w:tc>
          <w:tcPr>
            <w:tcW w:w="3000" w:type="dxa"/>
          </w:tcPr>
          <w:p>
            <w:pPr/>
            <w:r>
              <w:rPr/>
              <w:t xml:space="preserve">Zjišťování, jak žáci (studenti) pochopili učivo</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j41.C.6312</w:t>
            </w:r>
          </w:p>
        </w:tc>
        <w:tc>
          <w:tcPr>
            <w:tcW w:w="3000" w:type="dxa"/>
          </w:tcPr>
          <w:p>
            <w:pPr/>
            <w:r>
              <w:rPr/>
              <w:t xml:space="preserve">Ústní a písemné zkoušení</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j41.C.6321</w:t>
            </w:r>
          </w:p>
        </w:tc>
        <w:tc>
          <w:tcPr>
            <w:tcW w:w="3000" w:type="dxa"/>
          </w:tcPr>
          <w:p>
            <w:pPr/>
            <w:r>
              <w:rPr/>
              <w:t xml:space="preserve">Příprava písemných prací žáků (studentů)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j41.C.6322</w:t>
            </w:r>
          </w:p>
        </w:tc>
        <w:tc>
          <w:tcPr>
            <w:tcW w:w="3000" w:type="dxa"/>
          </w:tcPr>
          <w:p>
            <w:pPr/>
            <w:r>
              <w:rPr/>
              <w:t xml:space="preserve">Zadávání, opravování a hodnocení písemných a domácích prací žáků (studentů)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j41.C.6411</w:t>
            </w:r>
          </w:p>
        </w:tc>
        <w:tc>
          <w:tcPr>
            <w:tcW w:w="3000" w:type="dxa"/>
          </w:tcPr>
          <w:p>
            <w:pPr/>
            <w:r>
              <w:rPr/>
              <w:t xml:space="preserve">Řízení diskuzí</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j41.C.6511</w:t>
            </w:r>
          </w:p>
        </w:tc>
        <w:tc>
          <w:tcPr>
            <w:tcW w:w="3000" w:type="dxa"/>
          </w:tcPr>
          <w:p>
            <w:pPr/>
            <w:r>
              <w:rPr/>
              <w:t xml:space="preserve">Řešení kázeňských přestupků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j41.C.6521</w:t>
            </w:r>
          </w:p>
        </w:tc>
        <w:tc>
          <w:tcPr>
            <w:tcW w:w="3000" w:type="dxa"/>
          </w:tcPr>
          <w:p>
            <w:pPr/>
            <w:r>
              <w:rPr/>
              <w:t xml:space="preserve">Vykonávání služeb v rámci provozu školy</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j41.C.6911</w:t>
            </w:r>
          </w:p>
        </w:tc>
        <w:tc>
          <w:tcPr>
            <w:tcW w:w="3000" w:type="dxa"/>
          </w:tcPr>
          <w:p>
            <w:pPr/>
            <w:r>
              <w:rPr/>
              <w:t xml:space="preserve">Třídnictví a vedení školní administrativy, výkaznictví</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j41.C.6218</w:t>
            </w:r>
          </w:p>
        </w:tc>
        <w:tc>
          <w:tcPr>
            <w:tcW w:w="3000" w:type="dxa"/>
          </w:tcPr>
          <w:p>
            <w:pPr/>
            <w:r>
              <w:rPr/>
              <w:t xml:space="preserve">Vedení výuky se zřetelem na speciální vzdělávací potřeby žáků (studentů)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e81.C.6150</w:t>
            </w:r>
          </w:p>
        </w:tc>
        <w:tc>
          <w:tcPr>
            <w:tcW w:w="3000" w:type="dxa"/>
          </w:tcPr>
          <w:p>
            <w:pPr/>
            <w:r>
              <w:rPr/>
              <w:t xml:space="preserve">Pedagogická činnost v oblasti elektrotechnické výroby</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j41.D.1201</w:t>
            </w:r>
          </w:p>
        </w:tc>
        <w:tc>
          <w:tcPr>
            <w:tcW w:w="3000" w:type="dxa"/>
          </w:tcPr>
          <w:p>
            <w:pPr/>
            <w:r>
              <w:rPr/>
              <w:t xml:space="preserve">Orientace v učebních plánech, osnovách a dalších učebních dokumentech</w:t>
            </w:r>
          </w:p>
        </w:tc>
        <w:tc>
          <w:tcPr>
            <w:tcW w:w="2000" w:type="dxa"/>
          </w:tcPr>
          <w:p>
            <w:pPr>
              <w:jc w:val="center"/>
            </w:pPr>
            <w:r>
              <w:rPr/>
              <w:t xml:space="preserve">7</w:t>
            </w:r>
          </w:p>
        </w:tc>
        <w:tc>
          <w:tcPr>
            <w:tcW w:w="2000" w:type="dxa"/>
          </w:tcPr>
          <w:p>
            <w:pPr>
              <w:jc w:val="center"/>
            </w:pPr>
            <w:r>
              <w:rPr/>
              <w:t xml:space="preserve">Nutné</w:t>
            </w:r>
          </w:p>
        </w:tc>
      </w:tr>
    </w:tbl>
    <w:p>
      <w:pPr/>
      <w:r>
        <w:rPr>
          <w:sz w:val="16"/>
          <w:szCs w:val="16"/>
          <w:i w:val="1"/>
          <w:iCs w:val="1"/>
        </w:rPr>
        <w:t xml:space="preserve">Popisy úrovní naleznete zde: https://nsp.cz/downloads/Priloha_c2_manualu.pdf</w:t>
      </w:r>
    </w:p>
    <w:p/>
    <w:p>
      <w:pPr>
        <w:pStyle w:val="Heading3"/>
      </w:pPr>
      <w:bookmarkStart w:id="14" w:name="_Toc14"/>
      <w:r>
        <w:t>Odborné znalosti</w:t>
      </w:r>
      <w:bookmarkEnd w:id="14"/>
    </w:p>
    <w:tbl>
      <w:tblGrid>
        <w:gridCol w:w="2000" w:type="dxa"/>
        <w:gridCol w:w="3000" w:type="dxa"/>
        <w:gridCol w:w="2000" w:type="dxa"/>
        <w:gridCol w:w="2000" w:type="dxa"/>
      </w:tblGrid>
      <w:tblPr>
        <w:jc w:val="start"/>
        <w:tblW w:w="0" w:type="auto"/>
        <w:tblCellSpacing w:w="50" w:type="dxa"/>
        <w:tblLayout w:type="autofit"/>
        <w:bidiVisual w:val="0"/>
        <w:tblCellMar>
          <w:top w:w="80" w:type="dxa"/>
          <w:left w:w="80" w:type="dxa"/>
          <w:right w:w="80" w:type="dxa"/>
          <w:bottom w:w="80" w:type="dxa"/>
        </w:tblCellMar>
      </w:tblPr>
      <w:tr>
        <w:trPr/>
        <w:tc>
          <w:tcPr>
            <w:tcW w:w="2000" w:type="dxa"/>
          </w:tcPr>
          <w:p>
            <w:pPr>
              <w:jc w:val="center"/>
            </w:pPr>
            <w:r>
              <w:rPr>
                <w:b w:val="1"/>
                <w:bCs w:val="1"/>
              </w:rPr>
              <w:t xml:space="preserve">Kód</w:t>
            </w:r>
          </w:p>
        </w:tc>
        <w:tc>
          <w:tcPr>
            <w:tcW w:w="3000" w:type="dxa"/>
          </w:tcPr>
          <w:p>
            <w:pPr>
              <w:jc w:val="center"/>
            </w:pPr>
            <w:r>
              <w:rPr>
                <w:b w:val="1"/>
                <w:bCs w:val="1"/>
              </w:rPr>
              <w:t xml:space="preserve">Název</w:t>
            </w:r>
          </w:p>
        </w:tc>
        <w:tc>
          <w:tcPr>
            <w:tcW w:w="2000" w:type="dxa"/>
          </w:tcPr>
          <w:p>
            <w:pPr>
              <w:jc w:val="center"/>
            </w:pPr>
            <w:r>
              <w:rPr>
                <w:b w:val="1"/>
                <w:bCs w:val="1"/>
              </w:rPr>
              <w:t xml:space="preserve">Úroveň 1-8</w:t>
            </w:r>
          </w:p>
        </w:tc>
        <w:tc>
          <w:tcPr>
            <w:tcW w:w="2000" w:type="dxa"/>
          </w:tcPr>
          <w:p>
            <w:pPr/>
            <w:r>
              <w:rPr>
                <w:b w:val="1"/>
                <w:bCs w:val="1"/>
              </w:rPr>
              <w:t xml:space="preserve">Vhodnost</w:t>
            </w:r>
          </w:p>
        </w:tc>
      </w:tr>
      <w:tr>
        <w:trPr/>
        <w:tc>
          <w:tcPr>
            <w:tcW w:w="2000" w:type="dxa"/>
          </w:tcPr>
          <w:p>
            <w:pPr>
              <w:jc w:val="center"/>
            </w:pPr>
            <w:r>
              <w:rPr/>
              <w:t xml:space="preserve">j41._.0001</w:t>
            </w:r>
          </w:p>
        </w:tc>
        <w:tc>
          <w:tcPr>
            <w:tcW w:w="3000" w:type="dxa"/>
          </w:tcPr>
          <w:p>
            <w:pPr/>
            <w:r>
              <w:rPr/>
              <w:t xml:space="preserve">obecná pedagogika</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j41._.0013</w:t>
            </w:r>
          </w:p>
        </w:tc>
        <w:tc>
          <w:tcPr>
            <w:tcW w:w="3000" w:type="dxa"/>
          </w:tcPr>
          <w:p>
            <w:pPr/>
            <w:r>
              <w:rPr/>
              <w:t xml:space="preserve">vzdělávání a výchova ve středním školství</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j41._.0015</w:t>
            </w:r>
          </w:p>
        </w:tc>
        <w:tc>
          <w:tcPr>
            <w:tcW w:w="3000" w:type="dxa"/>
          </w:tcPr>
          <w:p>
            <w:pPr/>
            <w:r>
              <w:rPr/>
              <w:t xml:space="preserve">výuka odborných disciplin</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j41._.0021</w:t>
            </w:r>
          </w:p>
        </w:tc>
        <w:tc>
          <w:tcPr>
            <w:tcW w:w="3000" w:type="dxa"/>
          </w:tcPr>
          <w:p>
            <w:pPr/>
            <w:r>
              <w:rPr/>
              <w:t xml:space="preserve">řešení výchovných problémů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j41._.0022</w:t>
            </w:r>
          </w:p>
        </w:tc>
        <w:tc>
          <w:tcPr>
            <w:tcW w:w="3000" w:type="dxa"/>
          </w:tcPr>
          <w:p>
            <w:pPr/>
            <w:r>
              <w:rPr/>
              <w:t xml:space="preserve">řešení studijních problémů</w:t>
            </w:r>
          </w:p>
        </w:tc>
        <w:tc>
          <w:tcPr>
            <w:tcW w:w="2000" w:type="dxa"/>
          </w:tcPr>
          <w:p>
            <w:pPr>
              <w:jc w:val="center"/>
            </w:pPr>
            <w:r>
              <w:rPr/>
              <w:t xml:space="preserve">7</w:t>
            </w:r>
          </w:p>
        </w:tc>
        <w:tc>
          <w:tcPr>
            <w:tcW w:w="2000" w:type="dxa"/>
          </w:tcPr>
          <w:p>
            <w:pPr>
              <w:jc w:val="center"/>
            </w:pPr>
            <w:r>
              <w:rPr/>
              <w:t xml:space="preserve">Nutné</w:t>
            </w:r>
          </w:p>
        </w:tc>
      </w:tr>
      <w:tr>
        <w:trPr/>
        <w:tc>
          <w:tcPr>
            <w:tcW w:w="2000" w:type="dxa"/>
          </w:tcPr>
          <w:p>
            <w:pPr>
              <w:jc w:val="center"/>
            </w:pPr>
            <w:r>
              <w:rPr/>
              <w:t xml:space="preserve">j42._.0001</w:t>
            </w:r>
          </w:p>
        </w:tc>
        <w:tc>
          <w:tcPr>
            <w:tcW w:w="3000" w:type="dxa"/>
          </w:tcPr>
          <w:p>
            <w:pPr/>
            <w:r>
              <w:rPr/>
              <w:t xml:space="preserve">didaktika vyučovaného oboru</w:t>
            </w:r>
          </w:p>
        </w:tc>
        <w:tc>
          <w:tcPr>
            <w:tcW w:w="2000" w:type="dxa"/>
          </w:tcPr>
          <w:p>
            <w:pPr>
              <w:jc w:val="center"/>
            </w:pPr>
            <w:r>
              <w:rPr/>
              <w:t xml:space="preserve">7</w:t>
            </w:r>
          </w:p>
        </w:tc>
        <w:tc>
          <w:tcPr>
            <w:tcW w:w="2000" w:type="dxa"/>
          </w:tcPr>
          <w:p>
            <w:pPr>
              <w:jc w:val="center"/>
            </w:pPr>
            <w:r>
              <w:rPr/>
              <w:t xml:space="preserve">Nutné</w:t>
            </w:r>
          </w:p>
        </w:tc>
      </w:tr>
    </w:tbl>
    <w:p>
      <w:pPr/>
      <w:r>
        <w:rPr>
          <w:sz w:val="16"/>
          <w:szCs w:val="16"/>
          <w:i w:val="1"/>
          <w:iCs w:val="1"/>
        </w:rPr>
        <w:t xml:space="preserve">Popisy úrovní naleznete zde: https://nsp.cz/downloads/Priloha_c2_manualu.pdf</w:t>
      </w:r>
    </w:p>
    <w:p/>
    <w:p>
      <w:pPr>
        <w:pStyle w:val="Heading3"/>
      </w:pPr>
      <w:bookmarkStart w:id="15" w:name="_Toc15"/>
      <w:r>
        <w:t>Obecné dovednosti</w:t>
      </w:r>
      <w:bookmarkEnd w:id="15"/>
    </w:p>
    <w:tbl>
      <w:tblGrid>
        <w:gridCol w:w="2000" w:type="dxa"/>
        <w:gridCol w:w="5000" w:type="dxa"/>
        <w:gridCol w:w="2000" w:type="dxa"/>
      </w:tblGrid>
      <w:tblPr>
        <w:jc w:val="start"/>
        <w:tblW w:w="0" w:type="auto"/>
        <w:tblCellSpacing w:w="50" w:type="dxa"/>
        <w:tblLayout w:type="autofit"/>
        <w:bidiVisual w:val="0"/>
        <w:tblCellMar>
          <w:top w:w="80" w:type="dxa"/>
          <w:left w:w="80" w:type="dxa"/>
          <w:right w:w="80" w:type="dxa"/>
          <w:bottom w:w="80" w:type="dxa"/>
        </w:tblCellMar>
      </w:tblPr>
      <w:tr>
        <w:trPr/>
        <w:tc>
          <w:tcPr>
            <w:tcW w:w="2000" w:type="dxa"/>
          </w:tcPr>
          <w:p>
            <w:pPr>
              <w:jc w:val="center"/>
            </w:pPr>
            <w:r>
              <w:rPr>
                <w:b w:val="1"/>
                <w:bCs w:val="1"/>
              </w:rPr>
              <w:t xml:space="preserve">Kód</w:t>
            </w:r>
          </w:p>
        </w:tc>
        <w:tc>
          <w:tcPr>
            <w:tcW w:w="5000" w:type="dxa"/>
          </w:tcPr>
          <w:p>
            <w:pPr>
              <w:jc w:val="center"/>
            </w:pPr>
            <w:r>
              <w:rPr>
                <w:b w:val="1"/>
                <w:bCs w:val="1"/>
              </w:rPr>
              <w:t xml:space="preserve">Název</w:t>
            </w:r>
          </w:p>
        </w:tc>
        <w:tc>
          <w:tcPr>
            <w:tcW w:w="2000" w:type="dxa"/>
          </w:tcPr>
          <w:p>
            <w:pPr>
              <w:jc w:val="center"/>
            </w:pPr>
            <w:r>
              <w:rPr>
                <w:b w:val="1"/>
                <w:bCs w:val="1"/>
              </w:rPr>
              <w:t xml:space="preserve">Úroveň 0-3</w:t>
            </w:r>
          </w:p>
        </w:tc>
      </w:tr>
      <w:tr>
        <w:trPr/>
        <w:tc>
          <w:tcPr>
            <w:tcW w:w="2000" w:type="dxa"/>
          </w:tcPr>
          <w:p>
            <w:pPr>
              <w:jc w:val="center"/>
            </w:pPr>
            <w:r>
              <w:rPr/>
              <w:t xml:space="preserve">b01</w:t>
            </w:r>
          </w:p>
        </w:tc>
        <w:tc>
          <w:tcPr>
            <w:tcW w:w="5000" w:type="dxa"/>
          </w:tcPr>
          <w:p>
            <w:pPr/>
            <w:r>
              <w:rPr/>
              <w:t xml:space="preserve">Počítačová způsobilost</w:t>
            </w:r>
          </w:p>
        </w:tc>
        <w:tc>
          <w:tcPr>
            <w:tcW w:w="2000" w:type="dxa"/>
          </w:tcPr>
          <w:p>
            <w:pPr>
              <w:jc w:val="center"/>
            </w:pPr>
            <w:r>
              <w:rPr/>
              <w:t xml:space="preserve">3</w:t>
            </w:r>
          </w:p>
        </w:tc>
      </w:tr>
      <w:tr>
        <w:trPr/>
        <w:tc>
          <w:tcPr>
            <w:tcW w:w="2000" w:type="dxa"/>
          </w:tcPr>
          <w:p>
            <w:pPr>
              <w:jc w:val="center"/>
            </w:pPr>
            <w:r>
              <w:rPr/>
              <w:t xml:space="preserve">b02</w:t>
            </w:r>
          </w:p>
        </w:tc>
        <w:tc>
          <w:tcPr>
            <w:tcW w:w="5000" w:type="dxa"/>
          </w:tcPr>
          <w:p>
            <w:pPr/>
            <w:r>
              <w:rPr/>
              <w:t xml:space="preserve">Způsobilost k řízení osobního automobilu</w:t>
            </w:r>
          </w:p>
        </w:tc>
        <w:tc>
          <w:tcPr>
            <w:tcW w:w="2000" w:type="dxa"/>
          </w:tcPr>
          <w:p>
            <w:pPr>
              <w:jc w:val="center"/>
            </w:pPr>
            <w:r>
              <w:rPr/>
              <w:t xml:space="preserve">0</w:t>
            </w:r>
          </w:p>
        </w:tc>
      </w:tr>
      <w:tr>
        <w:trPr/>
        <w:tc>
          <w:tcPr>
            <w:tcW w:w="2000" w:type="dxa"/>
          </w:tcPr>
          <w:p>
            <w:pPr>
              <w:jc w:val="center"/>
            </w:pPr>
            <w:r>
              <w:rPr/>
              <w:t xml:space="preserve">b03</w:t>
            </w:r>
          </w:p>
        </w:tc>
        <w:tc>
          <w:tcPr>
            <w:tcW w:w="5000" w:type="dxa"/>
          </w:tcPr>
          <w:p>
            <w:pPr/>
            <w:r>
              <w:rPr/>
              <w:t xml:space="preserve">Numerická způsobilost</w:t>
            </w:r>
          </w:p>
        </w:tc>
        <w:tc>
          <w:tcPr>
            <w:tcW w:w="2000" w:type="dxa"/>
          </w:tcPr>
          <w:p>
            <w:pPr>
              <w:jc w:val="center"/>
            </w:pPr>
            <w:r>
              <w:rPr/>
              <w:t xml:space="preserve">3</w:t>
            </w:r>
          </w:p>
        </w:tc>
      </w:tr>
      <w:tr>
        <w:trPr/>
        <w:tc>
          <w:tcPr>
            <w:tcW w:w="2000" w:type="dxa"/>
          </w:tcPr>
          <w:p>
            <w:pPr>
              <w:jc w:val="center"/>
            </w:pPr>
            <w:r>
              <w:rPr/>
              <w:t xml:space="preserve">b04</w:t>
            </w:r>
          </w:p>
        </w:tc>
        <w:tc>
          <w:tcPr>
            <w:tcW w:w="5000" w:type="dxa"/>
          </w:tcPr>
          <w:p>
            <w:pPr/>
            <w:r>
              <w:rPr/>
              <w:t xml:space="preserve">Ekonomické povědomí</w:t>
            </w:r>
          </w:p>
        </w:tc>
        <w:tc>
          <w:tcPr>
            <w:tcW w:w="2000" w:type="dxa"/>
          </w:tcPr>
          <w:p>
            <w:pPr>
              <w:jc w:val="center"/>
            </w:pPr>
            <w:r>
              <w:rPr/>
              <w:t xml:space="preserve">2</w:t>
            </w:r>
          </w:p>
        </w:tc>
      </w:tr>
      <w:tr>
        <w:trPr/>
        <w:tc>
          <w:tcPr>
            <w:tcW w:w="2000" w:type="dxa"/>
          </w:tcPr>
          <w:p>
            <w:pPr>
              <w:jc w:val="center"/>
            </w:pPr>
            <w:r>
              <w:rPr/>
              <w:t xml:space="preserve">b05</w:t>
            </w:r>
          </w:p>
        </w:tc>
        <w:tc>
          <w:tcPr>
            <w:tcW w:w="5000" w:type="dxa"/>
          </w:tcPr>
          <w:p>
            <w:pPr/>
            <w:r>
              <w:rPr/>
              <w:t xml:space="preserve">Právní povědomí</w:t>
            </w:r>
          </w:p>
        </w:tc>
        <w:tc>
          <w:tcPr>
            <w:tcW w:w="2000" w:type="dxa"/>
          </w:tcPr>
          <w:p>
            <w:pPr>
              <w:jc w:val="center"/>
            </w:pPr>
            <w:r>
              <w:rPr/>
              <w:t xml:space="preserve">2</w:t>
            </w:r>
          </w:p>
        </w:tc>
      </w:tr>
      <w:tr>
        <w:trPr/>
        <w:tc>
          <w:tcPr>
            <w:tcW w:w="2000" w:type="dxa"/>
          </w:tcPr>
          <w:p>
            <w:pPr>
              <w:jc w:val="center"/>
            </w:pPr>
            <w:r>
              <w:rPr/>
              <w:t xml:space="preserve">b06</w:t>
            </w:r>
          </w:p>
        </w:tc>
        <w:tc>
          <w:tcPr>
            <w:tcW w:w="5000" w:type="dxa"/>
          </w:tcPr>
          <w:p>
            <w:pPr/>
            <w:r>
              <w:rPr/>
              <w:t xml:space="preserve">Jazyková způsobilost v češtině</w:t>
            </w:r>
          </w:p>
        </w:tc>
        <w:tc>
          <w:tcPr>
            <w:tcW w:w="2000" w:type="dxa"/>
          </w:tcPr>
          <w:p>
            <w:pPr>
              <w:jc w:val="center"/>
            </w:pPr>
            <w:r>
              <w:rPr/>
              <w:t xml:space="preserve">3</w:t>
            </w:r>
          </w:p>
        </w:tc>
      </w:tr>
      <w:tr>
        <w:trPr/>
        <w:tc>
          <w:tcPr>
            <w:tcW w:w="2000" w:type="dxa"/>
          </w:tcPr>
          <w:p>
            <w:pPr>
              <w:jc w:val="center"/>
            </w:pPr>
            <w:r>
              <w:rPr/>
              <w:t xml:space="preserve">b07</w:t>
            </w:r>
          </w:p>
        </w:tc>
        <w:tc>
          <w:tcPr>
            <w:tcW w:w="5000" w:type="dxa"/>
          </w:tcPr>
          <w:p>
            <w:pPr/>
            <w:r>
              <w:rPr/>
              <w:t xml:space="preserve">Jazyková způsobilost v angličtině</w:t>
            </w:r>
          </w:p>
        </w:tc>
        <w:tc>
          <w:tcPr>
            <w:tcW w:w="2000" w:type="dxa"/>
          </w:tcPr>
          <w:p>
            <w:pPr>
              <w:jc w:val="center"/>
            </w:pPr>
            <w:r>
              <w:rPr/>
              <w:t xml:space="preserve">2</w:t>
            </w:r>
          </w:p>
        </w:tc>
      </w:tr>
      <w:tr>
        <w:trPr/>
        <w:tc>
          <w:tcPr>
            <w:tcW w:w="2000" w:type="dxa"/>
          </w:tcPr>
          <w:p>
            <w:pPr>
              <w:jc w:val="center"/>
            </w:pPr>
            <w:r>
              <w:rPr/>
              <w:t xml:space="preserve">b08</w:t>
            </w:r>
          </w:p>
        </w:tc>
        <w:tc>
          <w:tcPr>
            <w:tcW w:w="5000" w:type="dxa"/>
          </w:tcPr>
          <w:p>
            <w:pPr/>
            <w:r>
              <w:rPr/>
              <w:t xml:space="preserve">Jazyková způsobilost v dalším cizím jazyce</w:t>
            </w:r>
          </w:p>
        </w:tc>
        <w:tc>
          <w:tcPr>
            <w:tcW w:w="2000" w:type="dxa"/>
          </w:tcPr>
          <w:p>
            <w:pPr>
              <w:jc w:val="center"/>
            </w:pPr>
            <w:r>
              <w:rPr/>
              <w:t xml:space="preserve">1</w:t>
            </w:r>
          </w:p>
        </w:tc>
      </w:tr>
    </w:tbl>
    <w:p>
      <w:pPr/>
      <w:r>
        <w:rPr>
          <w:sz w:val="16"/>
          <w:szCs w:val="16"/>
          <w:i w:val="1"/>
          <w:iCs w:val="1"/>
        </w:rPr>
        <w:t xml:space="preserve">Popisy úrovní naleznete zde: https://nsp.cz/downloads/Priloha_c10_manualu.pdf</w:t>
      </w:r>
    </w:p>
    <w:p/>
    <w:p>
      <w:pPr/>
      <w:r>
        <w:rPr>
          <w:sz w:val="16"/>
          <w:szCs w:val="16"/>
          <w:i w:val="1"/>
          <w:iCs w:val="1"/>
        </w:rPr>
        <w:t xml:space="preserve">Popisy úrovní naleznete zde: https://nsp.cz/downloads/Priloha_c15_manualu.pdf</w:t>
      </w:r>
    </w:p>
    <w:p/>
    <w:p>
      <w:pPr>
        <w:pStyle w:val="Heading3"/>
      </w:pPr>
      <w:bookmarkStart w:id="16" w:name="_Toc16"/>
      <w:r>
        <w:t>Měkké kompetence</w:t>
      </w:r>
      <w:bookmarkEnd w:id="16"/>
    </w:p>
    <w:tbl>
      <w:tblGrid>
        <w:gridCol w:w="2000" w:type="dxa"/>
        <w:gridCol w:w="5000" w:type="dxa"/>
        <w:gridCol w:w="2000" w:type="dxa"/>
      </w:tblGrid>
      <w:tblPr>
        <w:jc w:val="start"/>
        <w:tblW w:w="0" w:type="auto"/>
        <w:tblCellSpacing w:w="50" w:type="dxa"/>
        <w:tblLayout w:type="autofit"/>
        <w:bidiVisual w:val="0"/>
        <w:tblCellMar>
          <w:top w:w="80" w:type="dxa"/>
          <w:left w:w="80" w:type="dxa"/>
          <w:right w:w="80" w:type="dxa"/>
          <w:bottom w:w="80" w:type="dxa"/>
        </w:tblCellMar>
      </w:tblPr>
      <w:tr>
        <w:trPr/>
        <w:tc>
          <w:tcPr>
            <w:tcW w:w="2000" w:type="dxa"/>
          </w:tcPr>
          <w:p>
            <w:pPr>
              <w:jc w:val="center"/>
            </w:pPr>
            <w:r>
              <w:rPr>
                <w:b w:val="1"/>
                <w:bCs w:val="1"/>
              </w:rPr>
              <w:t xml:space="preserve">Kód</w:t>
            </w:r>
          </w:p>
        </w:tc>
        <w:tc>
          <w:tcPr>
            <w:tcW w:w="5000" w:type="dxa"/>
          </w:tcPr>
          <w:p>
            <w:pPr>
              <w:jc w:val="center"/>
            </w:pPr>
            <w:r>
              <w:rPr>
                <w:b w:val="1"/>
                <w:bCs w:val="1"/>
              </w:rPr>
              <w:t xml:space="preserve">Název</w:t>
            </w:r>
          </w:p>
        </w:tc>
        <w:tc>
          <w:tcPr>
            <w:tcW w:w="2000" w:type="dxa"/>
          </w:tcPr>
          <w:p>
            <w:pPr>
              <w:jc w:val="center"/>
            </w:pPr>
            <w:r>
              <w:rPr>
                <w:b w:val="1"/>
                <w:bCs w:val="1"/>
              </w:rPr>
              <w:t xml:space="preserve">Úroveň 0-5</w:t>
            </w:r>
          </w:p>
        </w:tc>
      </w:tr>
      <w:tr>
        <w:trPr/>
        <w:tc>
          <w:tcPr>
            <w:tcW w:w="2000" w:type="dxa"/>
          </w:tcPr>
          <w:p>
            <w:pPr>
              <w:jc w:val="center"/>
            </w:pPr>
            <w:r>
              <w:rPr/>
              <w:t xml:space="preserve">2.1</w:t>
            </w:r>
          </w:p>
        </w:tc>
        <w:tc>
          <w:tcPr>
            <w:tcW w:w="5000" w:type="dxa"/>
          </w:tcPr>
          <w:p>
            <w:pPr/>
            <w:r>
              <w:rPr/>
              <w:t xml:space="preserve">Kompetence k efektivní komunikaci</w:t>
            </w:r>
          </w:p>
        </w:tc>
        <w:tc>
          <w:tcPr>
            <w:tcW w:w="2000" w:type="dxa"/>
          </w:tcPr>
          <w:p>
            <w:pPr>
              <w:jc w:val="center"/>
            </w:pPr>
            <w:r>
              <w:rPr/>
              <w:t xml:space="preserve">5</w:t>
            </w:r>
          </w:p>
        </w:tc>
      </w:tr>
      <w:tr>
        <w:trPr/>
        <w:tc>
          <w:tcPr>
            <w:tcW w:w="2000" w:type="dxa"/>
          </w:tcPr>
          <w:p>
            <w:pPr>
              <w:jc w:val="center"/>
            </w:pPr>
            <w:r>
              <w:rPr/>
              <w:t xml:space="preserve">2.6</w:t>
            </w:r>
          </w:p>
        </w:tc>
        <w:tc>
          <w:tcPr>
            <w:tcW w:w="5000" w:type="dxa"/>
          </w:tcPr>
          <w:p>
            <w:pPr/>
            <w:r>
              <w:rPr/>
              <w:t xml:space="preserve">Kompetence k vedení lidí</w:t>
            </w:r>
          </w:p>
        </w:tc>
        <w:tc>
          <w:tcPr>
            <w:tcW w:w="2000" w:type="dxa"/>
          </w:tcPr>
          <w:p>
            <w:pPr>
              <w:jc w:val="center"/>
            </w:pPr>
            <w:r>
              <w:rPr/>
              <w:t xml:space="preserve">4</w:t>
            </w:r>
          </w:p>
        </w:tc>
      </w:tr>
      <w:tr>
        <w:trPr/>
        <w:tc>
          <w:tcPr>
            <w:tcW w:w="2000" w:type="dxa"/>
          </w:tcPr>
          <w:p>
            <w:pPr>
              <w:jc w:val="center"/>
            </w:pPr>
            <w:r>
              <w:rPr/>
              <w:t xml:space="preserve">3.3</w:t>
            </w:r>
          </w:p>
        </w:tc>
        <w:tc>
          <w:tcPr>
            <w:tcW w:w="5000" w:type="dxa"/>
          </w:tcPr>
          <w:p>
            <w:pPr/>
            <w:r>
              <w:rPr/>
              <w:t xml:space="preserve">Kompetence k objevování a orientaci v informacích</w:t>
            </w:r>
          </w:p>
        </w:tc>
        <w:tc>
          <w:tcPr>
            <w:tcW w:w="2000" w:type="dxa"/>
          </w:tcPr>
          <w:p>
            <w:pPr>
              <w:jc w:val="center"/>
            </w:pPr>
            <w:r>
              <w:rPr/>
              <w:t xml:space="preserve">4</w:t>
            </w:r>
          </w:p>
        </w:tc>
      </w:tr>
      <w:tr>
        <w:trPr/>
        <w:tc>
          <w:tcPr>
            <w:tcW w:w="2000" w:type="dxa"/>
          </w:tcPr>
          <w:p>
            <w:pPr>
              <w:jc w:val="center"/>
            </w:pPr>
            <w:r>
              <w:rPr/>
              <w:t xml:space="preserve">1.4</w:t>
            </w:r>
          </w:p>
        </w:tc>
        <w:tc>
          <w:tcPr>
            <w:tcW w:w="5000" w:type="dxa"/>
          </w:tcPr>
          <w:p>
            <w:pPr/>
            <w:r>
              <w:rPr/>
              <w:t xml:space="preserve">Kompetence ke zvládání stresu a zátěže</w:t>
            </w:r>
          </w:p>
        </w:tc>
        <w:tc>
          <w:tcPr>
            <w:tcW w:w="2000" w:type="dxa"/>
          </w:tcPr>
          <w:p>
            <w:pPr>
              <w:jc w:val="center"/>
            </w:pPr>
            <w:r>
              <w:rPr/>
              <w:t xml:space="preserve">4</w:t>
            </w:r>
          </w:p>
        </w:tc>
      </w:tr>
      <w:tr>
        <w:trPr/>
        <w:tc>
          <w:tcPr>
            <w:tcW w:w="2000" w:type="dxa"/>
          </w:tcPr>
          <w:p>
            <w:pPr>
              <w:jc w:val="center"/>
            </w:pPr>
            <w:r>
              <w:rPr/>
              <w:t xml:space="preserve">4.1</w:t>
            </w:r>
          </w:p>
        </w:tc>
        <w:tc>
          <w:tcPr>
            <w:tcW w:w="5000" w:type="dxa"/>
          </w:tcPr>
          <w:p>
            <w:pPr/>
            <w:r>
              <w:rPr/>
              <w:t xml:space="preserve">Kompetence k aktivnímu přístupu</w:t>
            </w:r>
          </w:p>
        </w:tc>
        <w:tc>
          <w:tcPr>
            <w:tcW w:w="2000" w:type="dxa"/>
          </w:tcPr>
          <w:p>
            <w:pPr>
              <w:jc w:val="center"/>
            </w:pPr>
            <w:r>
              <w:rPr/>
              <w:t xml:space="preserve">5</w:t>
            </w:r>
          </w:p>
        </w:tc>
      </w:tr>
      <w:tr>
        <w:trPr/>
        <w:tc>
          <w:tcPr>
            <w:tcW w:w="2000" w:type="dxa"/>
          </w:tcPr>
          <w:p>
            <w:pPr>
              <w:jc w:val="center"/>
            </w:pPr>
            <w:r>
              <w:rPr/>
              <w:t xml:space="preserve">1.1</w:t>
            </w:r>
          </w:p>
        </w:tc>
        <w:tc>
          <w:tcPr>
            <w:tcW w:w="5000" w:type="dxa"/>
          </w:tcPr>
          <w:p>
            <w:pPr/>
            <w:r>
              <w:rPr/>
              <w:t xml:space="preserve">Kompetence k celoživotnímu vzdělávání</w:t>
            </w:r>
          </w:p>
        </w:tc>
        <w:tc>
          <w:tcPr>
            <w:tcW w:w="2000" w:type="dxa"/>
          </w:tcPr>
          <w:p>
            <w:pPr>
              <w:jc w:val="center"/>
            </w:pPr>
            <w:r>
              <w:rPr/>
              <w:t xml:space="preserve">4</w:t>
            </w:r>
          </w:p>
        </w:tc>
      </w:tr>
      <w:tr>
        <w:trPr/>
        <w:tc>
          <w:tcPr>
            <w:tcW w:w="2000" w:type="dxa"/>
          </w:tcPr>
          <w:p>
            <w:pPr>
              <w:jc w:val="center"/>
            </w:pPr>
            <w:r>
              <w:rPr/>
              <w:t xml:space="preserve">4.2</w:t>
            </w:r>
          </w:p>
        </w:tc>
        <w:tc>
          <w:tcPr>
            <w:tcW w:w="5000" w:type="dxa"/>
          </w:tcPr>
          <w:p>
            <w:pPr/>
            <w:r>
              <w:rPr/>
              <w:t xml:space="preserve">Kompetence k plánování a organizování práce</w:t>
            </w:r>
          </w:p>
        </w:tc>
        <w:tc>
          <w:tcPr>
            <w:tcW w:w="2000" w:type="dxa"/>
          </w:tcPr>
          <w:p>
            <w:pPr>
              <w:jc w:val="center"/>
            </w:pPr>
            <w:r>
              <w:rPr/>
              <w:t xml:space="preserve">4</w:t>
            </w:r>
          </w:p>
        </w:tc>
      </w:tr>
      <w:tr>
        <w:trPr/>
        <w:tc>
          <w:tcPr>
            <w:tcW w:w="2000" w:type="dxa"/>
          </w:tcPr>
          <w:p>
            <w:pPr>
              <w:jc w:val="center"/>
            </w:pPr>
            <w:r>
              <w:rPr/>
              <w:t xml:space="preserve">4.4</w:t>
            </w:r>
          </w:p>
        </w:tc>
        <w:tc>
          <w:tcPr>
            <w:tcW w:w="5000" w:type="dxa"/>
          </w:tcPr>
          <w:p>
            <w:pPr/>
            <w:r>
              <w:rPr/>
              <w:t xml:space="preserve">Kompetence k řešení problémů</w:t>
            </w:r>
          </w:p>
        </w:tc>
        <w:tc>
          <w:tcPr>
            <w:tcW w:w="2000" w:type="dxa"/>
          </w:tcPr>
          <w:p>
            <w:pPr>
              <w:jc w:val="center"/>
            </w:pPr>
            <w:r>
              <w:rPr/>
              <w:t xml:space="preserve">5</w:t>
            </w:r>
          </w:p>
        </w:tc>
      </w:tr>
      <w:tr>
        <w:trPr/>
        <w:tc>
          <w:tcPr>
            <w:tcW w:w="2000" w:type="dxa"/>
          </w:tcPr>
          <w:p>
            <w:pPr>
              <w:jc w:val="center"/>
            </w:pPr>
            <w:r>
              <w:rPr/>
              <w:t xml:space="preserve">4.5</w:t>
            </w:r>
          </w:p>
        </w:tc>
        <w:tc>
          <w:tcPr>
            <w:tcW w:w="5000" w:type="dxa"/>
          </w:tcPr>
          <w:p>
            <w:pPr/>
            <w:r>
              <w:rPr/>
              <w:t xml:space="preserve">Kompetence k samostatnosti</w:t>
            </w:r>
          </w:p>
        </w:tc>
        <w:tc>
          <w:tcPr>
            <w:tcW w:w="2000" w:type="dxa"/>
          </w:tcPr>
          <w:p>
            <w:pPr>
              <w:jc w:val="center"/>
            </w:pPr>
            <w:r>
              <w:rPr/>
              <w:t xml:space="preserve">5</w:t>
            </w:r>
          </w:p>
        </w:tc>
      </w:tr>
      <w:tr>
        <w:trPr/>
        <w:tc>
          <w:tcPr>
            <w:tcW w:w="2000" w:type="dxa"/>
          </w:tcPr>
          <w:p>
            <w:pPr>
              <w:jc w:val="center"/>
            </w:pPr>
            <w:r>
              <w:rPr/>
              <w:t xml:space="preserve">4.6</w:t>
            </w:r>
          </w:p>
        </w:tc>
        <w:tc>
          <w:tcPr>
            <w:tcW w:w="5000" w:type="dxa"/>
          </w:tcPr>
          <w:p>
            <w:pPr/>
            <w:r>
              <w:rPr/>
              <w:t xml:space="preserve">Kompetence k výkonnosti</w:t>
            </w:r>
          </w:p>
        </w:tc>
        <w:tc>
          <w:tcPr>
            <w:tcW w:w="2000" w:type="dxa"/>
          </w:tcPr>
          <w:p>
            <w:pPr>
              <w:jc w:val="center"/>
            </w:pPr>
            <w:r>
              <w:rPr/>
              <w:t xml:space="preserve">4</w:t>
            </w:r>
          </w:p>
        </w:tc>
      </w:tr>
      <w:tr>
        <w:trPr/>
        <w:tc>
          <w:tcPr>
            <w:tcW w:w="2000" w:type="dxa"/>
          </w:tcPr>
          <w:p>
            <w:pPr>
              <w:jc w:val="center"/>
            </w:pPr>
            <w:r>
              <w:rPr/>
              <w:t xml:space="preserve">2.3</w:t>
            </w:r>
          </w:p>
        </w:tc>
        <w:tc>
          <w:tcPr>
            <w:tcW w:w="5000" w:type="dxa"/>
          </w:tcPr>
          <w:p>
            <w:pPr/>
            <w:r>
              <w:rPr/>
              <w:t xml:space="preserve">Kompetence k orientaci na zákazníka a uspokojování zákaznických potřeb</w:t>
            </w:r>
          </w:p>
        </w:tc>
        <w:tc>
          <w:tcPr>
            <w:tcW w:w="2000" w:type="dxa"/>
          </w:tcPr>
          <w:p>
            <w:pPr>
              <w:jc w:val="center"/>
            </w:pPr>
            <w:r>
              <w:rPr/>
              <w:t xml:space="preserve">4</w:t>
            </w:r>
          </w:p>
        </w:tc>
      </w:tr>
      <w:tr>
        <w:trPr/>
        <w:tc>
          <w:tcPr>
            <w:tcW w:w="2000" w:type="dxa"/>
          </w:tcPr>
          <w:p>
            <w:pPr>
              <w:jc w:val="center"/>
            </w:pPr>
            <w:r>
              <w:rPr/>
              <w:t xml:space="preserve">1.2</w:t>
            </w:r>
          </w:p>
        </w:tc>
        <w:tc>
          <w:tcPr>
            <w:tcW w:w="5000" w:type="dxa"/>
          </w:tcPr>
          <w:p>
            <w:pPr/>
            <w:r>
              <w:rPr/>
              <w:t xml:space="preserve">Kompetence k flexibilitě</w:t>
            </w:r>
          </w:p>
        </w:tc>
        <w:tc>
          <w:tcPr>
            <w:tcW w:w="2000" w:type="dxa"/>
          </w:tcPr>
          <w:p>
            <w:pPr>
              <w:jc w:val="center"/>
            </w:pPr>
            <w:r>
              <w:rPr/>
              <w:t xml:space="preserve">4</w:t>
            </w:r>
          </w:p>
        </w:tc>
      </w:tr>
      <w:tr>
        <w:trPr/>
        <w:tc>
          <w:tcPr>
            <w:tcW w:w="2000" w:type="dxa"/>
          </w:tcPr>
          <w:p>
            <w:pPr>
              <w:jc w:val="center"/>
            </w:pPr>
            <w:r>
              <w:rPr/>
              <w:t xml:space="preserve">1.3</w:t>
            </w:r>
          </w:p>
        </w:tc>
        <w:tc>
          <w:tcPr>
            <w:tcW w:w="5000" w:type="dxa"/>
          </w:tcPr>
          <w:p>
            <w:pPr/>
            <w:r>
              <w:rPr/>
              <w:t xml:space="preserve">Kompetence ke kreativitě</w:t>
            </w:r>
          </w:p>
        </w:tc>
        <w:tc>
          <w:tcPr>
            <w:tcW w:w="2000" w:type="dxa"/>
          </w:tcPr>
          <w:p>
            <w:pPr>
              <w:jc w:val="center"/>
            </w:pPr>
            <w:r>
              <w:rPr/>
              <w:t xml:space="preserve">3</w:t>
            </w:r>
          </w:p>
        </w:tc>
      </w:tr>
      <w:tr>
        <w:trPr/>
        <w:tc>
          <w:tcPr>
            <w:tcW w:w="2000" w:type="dxa"/>
          </w:tcPr>
          <w:p>
            <w:pPr>
              <w:jc w:val="center"/>
            </w:pPr>
            <w:r>
              <w:rPr/>
              <w:t xml:space="preserve">2.2</w:t>
            </w:r>
          </w:p>
        </w:tc>
        <w:tc>
          <w:tcPr>
            <w:tcW w:w="5000" w:type="dxa"/>
          </w:tcPr>
          <w:p>
            <w:pPr/>
            <w:r>
              <w:rPr/>
              <w:t xml:space="preserve">Kompetence ke kooperaci</w:t>
            </w:r>
          </w:p>
        </w:tc>
        <w:tc>
          <w:tcPr>
            <w:tcW w:w="2000" w:type="dxa"/>
          </w:tcPr>
          <w:p>
            <w:pPr>
              <w:jc w:val="center"/>
            </w:pPr>
            <w:r>
              <w:rPr/>
              <w:t xml:space="preserve">4</w:t>
            </w:r>
          </w:p>
        </w:tc>
      </w:tr>
      <w:tr>
        <w:trPr/>
        <w:tc>
          <w:tcPr>
            <w:tcW w:w="2000" w:type="dxa"/>
          </w:tcPr>
          <w:p>
            <w:pPr>
              <w:jc w:val="center"/>
            </w:pPr>
            <w:r>
              <w:rPr/>
              <w:t xml:space="preserve">2.4</w:t>
            </w:r>
          </w:p>
        </w:tc>
        <w:tc>
          <w:tcPr>
            <w:tcW w:w="5000" w:type="dxa"/>
          </w:tcPr>
          <w:p>
            <w:pPr/>
            <w:r>
              <w:rPr/>
              <w:t xml:space="preserve">Kompetence k ovlivňování a rozvíjení ostatních</w:t>
            </w:r>
          </w:p>
        </w:tc>
        <w:tc>
          <w:tcPr>
            <w:tcW w:w="2000" w:type="dxa"/>
          </w:tcPr>
          <w:p>
            <w:pPr>
              <w:jc w:val="center"/>
            </w:pPr>
            <w:r>
              <w:rPr/>
              <w:t xml:space="preserve">4</w:t>
            </w:r>
          </w:p>
        </w:tc>
      </w:tr>
    </w:tbl>
    <w:p>
      <w:pPr/>
      <w:r>
        <w:rPr>
          <w:sz w:val="16"/>
          <w:szCs w:val="16"/>
          <w:i w:val="1"/>
          <w:iCs w:val="1"/>
        </w:rPr>
        <w:t xml:space="preserve">Popisy úrovní naleznete zde: https://nsp.cz/downloads/Priloha_c9_manualu.pdf</w:t>
      </w:r>
    </w:p>
    <w:p/>
    <w:p>
      <w:pPr>
        <w:pStyle w:val="Heading2"/>
      </w:pPr>
      <w:bookmarkStart w:id="17" w:name="_Toc17"/>
      <w:r>
        <w:t>Zdravotní podmínky</w:t>
      </w:r>
      <w:bookmarkEnd w:id="17"/>
    </w:p>
    <w:p>
      <w:pPr>
        <w:pStyle w:val="Heading3"/>
      </w:pPr>
      <w:bookmarkStart w:id="18" w:name="_Toc18"/>
      <w:r>
        <w:t>Onemocnění omezující výkon povolání / specializace povolání.</w:t>
      </w:r>
      <w:bookmarkEnd w:id="18"/>
    </w:p>
    <w:p>
      <w:pPr>
        <w:numPr>
          <w:ilvl w:val="0"/>
          <w:numId w:val="5"/>
        </w:numPr>
      </w:pPr>
      <w:r>
        <w:rPr/>
        <w:t xml:space="preserve">Duševní poruchy</w:t>
      </w:r>
    </w:p>
    <w:p>
      <w:pPr>
        <w:numPr>
          <w:ilvl w:val="0"/>
          <w:numId w:val="5"/>
        </w:numPr>
      </w:pPr>
      <w:r>
        <w:rPr/>
        <w:t xml:space="preserve">Poruchy chování</w:t>
      </w:r>
    </w:p>
    <w:p>
      <w:pPr>
        <w:numPr>
          <w:ilvl w:val="0"/>
          <w:numId w:val="5"/>
        </w:numPr>
      </w:pPr>
      <w:r>
        <w:rPr/>
        <w:t xml:space="preserve">Závažná psychosomatická onemocnění</w:t>
      </w:r>
    </w:p>
    <w:p>
      <w:pPr/>
      <w:r>
        <w:rPr>
          <w:sz w:val="16"/>
          <w:szCs w:val="16"/>
          <w:i w:val="1"/>
          <w:iCs w:val="1"/>
        </w:rPr>
        <w:t xml:space="preserve">Přesné posouzení zdravotního stavu s následným doporučením nebo nedoporučením výkonu této pozice je možné pouze po konzultaci s lékařem.</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1B395BF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120"/>
    </w:pPr>
    <w:rPr>
      <w:sz w:val="40"/>
      <w:szCs w:val="40"/>
      <w:b w:val="1"/>
      <w:bCs w:val="1"/>
    </w:rPr>
  </w:style>
  <w:style w:type="paragraph" w:styleId="Heading2">
    <w:link w:val="Heading2Char"/>
    <w:name w:val="heading 2"/>
    <w:basedOn w:val="Normal"/>
    <w:pPr>
      <w:spacing w:after="80"/>
    </w:pPr>
    <w:rPr>
      <w:sz w:val="28"/>
      <w:szCs w:val="28"/>
      <w:b w:val="1"/>
      <w:bCs w:val="1"/>
    </w:rPr>
  </w:style>
  <w:style w:type="paragraph" w:styleId="Heading3">
    <w:link w:val="Heading3Char"/>
    <w:name w:val="heading 3"/>
    <w:basedOn w:val="Normal"/>
    <w:pPr>
      <w:spacing w:after="60"/>
    </w:pPr>
    <w:rPr>
      <w:sz w:val="24"/>
      <w:szCs w:val="24"/>
      <w:b w:val="1"/>
      <w:bCs w:val="1"/>
    </w:rPr>
  </w:style>
  <w:style w:type="paragraph" w:styleId="Heading4">
    <w:link w:val="Heading4Char"/>
    <w:name w:val="heading 4"/>
    <w:basedOn w:val="Normal"/>
    <w:pPr>
      <w:spacing w:after="60"/>
    </w:pPr>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FDV</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NSP.CZ</dc:creator>
  <dc:title>Učitel odborných předmětů SŠ elektrotechnika</dc:title>
  <dc:description>Jednotka práce bude aktualizována v souladu s platnou legislativou v průběhu roku 2013 – 2014.
Učitel odborných předmětů střední školy provádí vzdělávací a výchovnou činnost při vyučování odborných předmětů v oboru vzdělání Elektrotechnika, směřující k získávání vědomostí a dovedností žáků na střední škole, popřípadě ve třídách a na středních školách zřízených pro žáky se speciálními vzdělávacími potřebami.</dc:description>
  <dc:subject/>
  <cp:keywords/>
  <cp:category>Specializace</cp:category>
  <cp:lastModifiedBy/>
  <dcterms:created xsi:type="dcterms:W3CDTF">2017-11-22T09:24:08+01:00</dcterms:created>
  <dcterms:modified xsi:type="dcterms:W3CDTF">2024-03-26T10:03:33+01:00</dcterms:modified>
</cp:coreProperties>
</file>

<file path=docProps/custom.xml><?xml version="1.0" encoding="utf-8"?>
<Properties xmlns="http://schemas.openxmlformats.org/officeDocument/2006/custom-properties" xmlns:vt="http://schemas.openxmlformats.org/officeDocument/2006/docPropsVTypes"/>
</file>