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4500" w:type="dxa"/>
        <w:gridCol w:w="4500" w:type="dxa"/>
      </w:tblGrid>
      <w:tr>
        <w:trPr/>
        <w:tc>
          <w:tcPr>
            <w:tcW w:w="4500" w:type="dxa"/>
          </w:tcPr>
          <w:p>
            <w:pPr>
              <w:pStyle w:val="AlignCenter2"/>
            </w:pPr>
            <w:r>
              <w:pict>
                <v:shape type="#_x0000_t75" stroked="f" style="width:228pt; height:174.021201413pt; margin-left:0pt; margin-top:0pt; mso-position-horizontal:left; mso-position-vertical:top; mso-position-horizontal-relative:char; mso-position-vertical-relative:line; z-index:-2147483647;">
                  <v:imagedata r:id="rId7" o:title=""/>
                </v:shape>
              </w:pict>
            </w:r>
          </w:p>
        </w:tc>
        <w:tc>
          <w:tcPr>
            <w:tcW w:w="4500" w:type="dxa"/>
            <w:vAlign w:val="center"/>
            <w:shd w:val="clear" w:fill="287c96"/>
          </w:tcPr>
          <w:p>
            <w:pPr>
              <w:pStyle w:val="AlignCenter"/>
            </w:pPr>
            <w:r>
              <w:rPr>
                <w:color w:val="ffffff"/>
              </w:rPr>
              <w:t xml:space="preserve">ASSOCIATE</w:t>
            </w:r>
          </w:p>
          <w:p>
            <w:pPr>
              <w:pStyle w:val="AlignCenter"/>
            </w:pPr>
            <w:r>
              <w:rPr>
                <w:color w:val="ffffff"/>
                <w:sz w:val="34"/>
                <w:szCs w:val="34"/>
              </w:rPr>
              <w:t xml:space="preserve">CODY J. COLDREN</w:t>
            </w:r>
          </w:p>
          <w:p>
            <w:pPr>
              <w:pStyle w:val="AlignCenter2"/>
            </w:pPr>
            <w:r>
              <w:rPr>
                <w:color w:val="ffffff"/>
                <w:b w:val="1"/>
                <w:bCs w:val="1"/>
              </w:rPr>
              <w:t xml:space="preserve">T. </w:t>
            </w:r>
            <w:r>
              <w:rPr>
                <w:color w:val="ffffff"/>
              </w:rPr>
              <w:t xml:space="preserve">317-637-0700 x204</w:t>
            </w:r>
          </w:p>
          <w:p>
            <w:pPr>
              <w:pStyle w:val="AlignCenter2"/>
            </w:pPr>
            <w:r>
              <w:rPr>
                <w:color w:val="ffffff"/>
                <w:b w:val="1"/>
                <w:bCs w:val="1"/>
              </w:rPr>
              <w:t xml:space="preserve">E. </w:t>
            </w:r>
            <w:r>
              <w:rPr>
                <w:color w:val="ffffff"/>
              </w:rPr>
              <w:t xml:space="preserve">ccoldren@psrb.com</w:t>
            </w:r>
          </w:p>
          <w:p>
            <w:pPr>
              <w:pStyle w:val="AlignCenter2"/>
            </w:pPr>
            <w:hyperlink r:id="rId8" w:history="1">
              <w:r>
                <w:rPr>
                  <w:color w:val="ffffff"/>
                </w:rPr>
                <w:t xml:space="preserve">Office: Indianapolis</w:t>
              </w:r>
            </w:hyperlink>
          </w:p>
        </w:tc>
      </w:tr>
    </w:tbl>
    <w:p>
      <w:pPr/>
      <w:r>
        <w:rPr/>
        <w:t xml:space="preserve"/>
      </w:r>
    </w:p>
    <w:tbl>
      <w:tblGrid>
        <w:gridCol w:w="2250" w:type="dxa"/>
        <w:gridCol w:w="6750" w:type="dxa"/>
      </w:tblGrid>
      <w:tr>
        <w:trPr/>
        <w:tc>
          <w:tcPr>
            <w:tcW w:w="2250" w:type="dxa"/>
          </w:tcPr>
          <w:p>
            <w:pPr>
              <w:pStyle w:val="Heading3"/>
            </w:pPr>
            <w:r>
              <w:rPr/>
              <w:t xml:space="preserve">Practices</w:t>
            </w:r>
          </w:p>
          <w:p>
            <w:pPr/>
            <w:hyperlink r:id="rId9" w:history="1">
              <w:r>
                <w:rPr/>
                <w:t xml:space="preserve">Business</w:t>
              </w:r>
            </w:hyperlink>
          </w:p>
          <w:p>
            <w:pPr/>
            <w:hyperlink r:id="rId10" w:history="1">
              <w:r>
                <w:rPr/>
                <w:t xml:space="preserve">Real Estate</w:t>
              </w:r>
            </w:hyperlink>
          </w:p>
          <w:p>
            <w:pPr>
              <w:pStyle w:val="Heading3"/>
            </w:pPr>
            <w:r>
              <w:rPr/>
              <w:t xml:space="preserve">Industries</w:t>
            </w:r>
          </w:p>
          <w:p>
            <w:pPr/>
            <w:hyperlink r:id="rId11" w:history="1">
              <w:r>
                <w:rPr/>
                <w:t xml:space="preserve">Energy &amp; Utilities</w:t>
              </w:r>
            </w:hyperlink>
          </w:p>
          <w:p>
            <w:pPr/>
            <w:hyperlink r:id="rId12" w:history="1">
              <w:r>
                <w:rPr/>
                <w:t xml:space="preserve">Individuals &amp; Closely Held Businesses</w:t>
              </w:r>
            </w:hyperlink>
          </w:p>
          <w:p>
            <w:pPr/>
            <w:hyperlink r:id="rId13" w:history="1">
              <w:r>
                <w:rPr/>
                <w:t xml:space="preserve">Petroleum Marketers</w:t>
              </w:r>
            </w:hyperlink>
          </w:p>
          <w:p>
            <w:pPr/>
            <w:hyperlink r:id="rId14" w:history="1">
              <w:r>
                <w:rPr/>
                <w:t xml:space="preserve">Real Estate Development &amp; Construction</w:t>
              </w:r>
            </w:hyperlink>
          </w:p>
        </w:tc>
        <w:tc>
          <w:tcPr>
            <w:tcW w:w="6750" w:type="dxa"/>
          </w:tcPr>
          <w:p>
            <w:pPr>
              <w:pStyle w:val="Heading1"/>
            </w:pPr>
            <w:r>
              <w:rPr/>
              <w:t xml:space="preserve">Overview</w:t>
            </w:r>
          </w:p>
          <w:p>
            <w:pPr/>
            <w:r>
              <w:rPr/>
              <w:t xml:space="preserve">Cody Coldren has joined PSRB as an associate attorney and is focusing his practice in the areas of business litigation and transactional law. During his undergraduate career, Cody was a Division I athlete at Indiana University and studied management at the IU Kelley School of Business. During law school, Cody served as an article editor for the </w:t>
            </w:r>
            <w:r>
              <w:rPr>
                <w:i w:val="1"/>
                <w:iCs w:val="1"/>
              </w:rPr>
              <w:t xml:space="preserve">Indiana Law Review</w:t>
            </w:r>
            <w:r>
              <w:rPr/>
              <w:t xml:space="preserve"> and focused his studies on corporate and commercial law. Cody has represented the State of Indiana as a Deputy Prosecuting Attorney for the Marion County Prosecutor’s Office, whereafter he shifted his practice towards the representation of small business owners – primarily with a focus on construction contracts and litigation. Cody is currently a member of the Executive Committee for the Indianapolis Bar Association’s Litigation Group.</w:t>
            </w:r>
          </w:p>
          <w:p>
            <w:pPr>
              <w:pStyle w:val="Heading1"/>
            </w:pPr>
            <w:r>
              <w:rPr/>
              <w:t xml:space="preserve">Education</w:t>
            </w:r>
          </w:p>
          <w:p>
            <w:pPr>
              <w:numPr>
                <w:ilvl w:val="0"/>
                <w:numId w:val="11"/>
              </w:numPr>
            </w:pPr>
            <w:r>
              <w:rPr/>
              <w:t xml:space="preserve">B.S., Indiana University Bloomington, Kelley School of Business (2018)</w:t>
            </w:r>
          </w:p>
          <w:p>
            <w:pPr>
              <w:numPr>
                <w:ilvl w:val="0"/>
                <w:numId w:val="11"/>
              </w:numPr>
            </w:pPr>
            <w:r>
              <w:rPr/>
              <w:t xml:space="preserve">J.D., Indiana University Robert H. McKinney School of Law (2021)</w:t>
            </w:r>
          </w:p>
          <w:p>
            <w:pPr>
              <w:pStyle w:val="Heading1"/>
            </w:pPr>
            <w:r>
              <w:rPr/>
              <w:t xml:space="preserve">Bar Admissions</w:t>
            </w:r>
          </w:p>
          <w:p>
            <w:pPr>
              <w:numPr>
                <w:ilvl w:val="0"/>
                <w:numId w:val="12"/>
              </w:numPr>
            </w:pPr>
            <w:r>
              <w:rPr/>
              <w:t xml:space="preserve">State of Indiana (2021)</w:t>
            </w:r>
          </w:p>
          <w:p>
            <w:pPr>
              <w:numPr>
                <w:ilvl w:val="0"/>
                <w:numId w:val="12"/>
              </w:numPr>
            </w:pPr>
            <w:r>
              <w:rPr/>
              <w:t xml:space="preserve">United States District Court for the Northern District of Indiana (2021)</w:t>
            </w:r>
          </w:p>
          <w:p>
            <w:pPr>
              <w:numPr>
                <w:ilvl w:val="0"/>
                <w:numId w:val="12"/>
              </w:numPr>
            </w:pPr>
            <w:r>
              <w:rPr/>
              <w:t xml:space="preserve">United States District Court for the Southern District of Indiana (2021)</w:t>
            </w:r>
          </w:p>
          <w:p>
            <w:pPr>
              <w:numPr>
                <w:ilvl w:val="0"/>
                <w:numId w:val="12"/>
              </w:numPr>
            </w:pPr>
            <w:r>
              <w:rPr/>
              <w:t xml:space="preserve">United States Bankruptcy Court for the Southern District of Indiana (2023)</w:t>
            </w:r>
          </w:p>
          <w:p>
            <w:pPr>
              <w:pStyle w:val="Heading1"/>
            </w:pPr>
            <w:r>
              <w:rPr/>
              <w:t xml:space="preserve">Affiliations</w:t>
            </w:r>
          </w:p>
          <w:p>
            <w:pPr>
              <w:pStyle w:val="Heading2"/>
            </w:pPr>
            <w:r>
              <w:rPr/>
              <w:t xml:space="preserve">Professional Affiliations</w:t>
            </w:r>
          </w:p>
          <w:p>
            <w:pPr>
              <w:numPr>
                <w:ilvl w:val="0"/>
                <w:numId w:val="13"/>
              </w:numPr>
            </w:pPr>
            <w:r>
              <w:rPr/>
              <w:t xml:space="preserve">Member, Indiana State Bar Association</w:t>
            </w:r>
          </w:p>
          <w:p>
            <w:pPr>
              <w:numPr>
                <w:ilvl w:val="0"/>
                <w:numId w:val="13"/>
              </w:numPr>
            </w:pPr>
            <w:r>
              <w:rPr/>
              <w:t xml:space="preserve">Member, Indianapolis Bar Association</w:t>
            </w:r>
          </w:p>
          <w:p>
            <w:pPr>
              <w:numPr>
                <w:ilvl w:val="0"/>
                <w:numId w:val="13"/>
              </w:numPr>
            </w:pPr>
            <w:r>
              <w:rPr/>
              <w:t xml:space="preserve">Executive Committee Member, Indianapolis Bar Association – Litigation Section</w:t>
            </w:r>
          </w:p>
        </w:tc>
      </w:tr>
    </w:tbl>
    <w:sectPr>
      <w:headerReference w:type="default" r:id="rId15"/>
      <w:footerReference w:type="default" r:id="rId16"/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01" type="#_x0000_t32" style="width:450pt; height:0pt; margin-left:0pt; margin-top:0pt; mso-position-horizontal:left; mso-position-vertical:top; mso-position-horizontal-relative:char; mso-position-vertical-relative:line;">
          <w10:wrap type="inline"/>
          <v:stroke weight="1pt" color="e0e0e0"/>
        </v:shape>
      </w:pict>
    </w:r>
  </w:p>
  <w:p>
    <w:pPr>
      <w:pStyle w:val="leftRight"/>
    </w:pPr>
    <w:r>
      <w:rPr>
        <w:sz w:val="18"/>
        <w:szCs w:val="18"/>
      </w:rPr>
      <w:t xml:space="preserve">©2024 Plews Shadley Racher &amp; Braun LLP. All Rights Reserved.	Page </w:t>
    </w:r>
    <w:r>
      <w:fldChar w:fldCharType="begin"/>
    </w:r>
    <w:r>
      <w:rPr>
        <w:sz w:val="18"/>
        <w:szCs w:val="18"/>
      </w:rPr>
      <w:instrText xml:space="preserve">PAGE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4500" w:type="dxa"/>
      <w:gridCol w:w="4500" w:type="dxa"/>
    </w:tblGrid>
    <w:tr>
      <w:trPr/>
      <w:tc>
        <w:tcPr>
          <w:tcW w:w="4500" w:type="dxa"/>
        </w:tcPr>
        <w:p>
          <w:pPr/>
          <w:r>
            <w:pict>
              <v:shape type="#_x0000_t75" stroked="f" style="width:160pt; height:59.0405904059pt; margin-left:0pt; margin-top:0pt; mso-position-horizontal:left; mso-position-vertical:top; mso-position-horizontal-relative:char; mso-position-vertical-relative:line;">
                <w10:wrap type="inline"/>
                <v:imagedata r:id="rId1" o:title=""/>
              </v:shape>
            </w:pict>
          </w:r>
        </w:p>
      </w:tc>
      <w:tc>
        <w:tcPr>
          <w:tcW w:w="4500" w:type="dxa"/>
          <w:vAlign w:val="top"/>
        </w:tcPr>
        <w:p>
          <w:pPr>
            <w:jc w:val="end"/>
            <w:spacing w:before="0" w:after="0"/>
          </w:pPr>
          <w:r>
            <w:rPr/>
            <w:t xml:space="preserve">CODY J. COLDREN</w:t>
          </w:r>
        </w:p>
        <w:p>
          <w:pPr>
            <w:jc w:val="end"/>
            <w:spacing w:before="0" w:after="0"/>
          </w:pPr>
          <w:hyperlink r:id="rId2" w:history="1">
            <w:r>
              <w:rPr>
                <w:color w:val="d75504"/>
              </w:rPr>
              <w:t xml:space="preserve">www.psrb.com</w:t>
            </w:r>
          </w:hyperlink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nsid w:val="F5F324A0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nsid w:val="7FE93B0C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nsid w:val="8DB26CA1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  <w:pPr>
      <w:spacing w:after="160"/>
    </w:pPr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leftRight">
    <w:name w:val="leftRight"/>
    <w:basedOn w:val="Normal"/>
    <w:pPr>
      <w:tabs>
        <w:tab w:val="right" w:leader="none" w:pos="9025.511811023622"/>
      </w:tabs>
    </w:pPr>
  </w:style>
  <w:style w:type="paragraph" w:customStyle="1" w:styleId="AlignCenter">
    <w:name w:val="AlignCenter"/>
    <w:basedOn w:val="Normal"/>
    <w:pPr>
      <w:jc w:val="center"/>
    </w:pPr>
  </w:style>
  <w:style w:type="paragraph" w:customStyle="1" w:styleId="AlignCenter2">
    <w:name w:val="AlignCenter2"/>
    <w:basedOn w:val="Normal"/>
    <w:pPr>
      <w:jc w:val="center"/>
      <w:spacing w:before="0" w:after="0"/>
    </w:pPr>
  </w:style>
  <w:style w:type="paragraph" w:styleId="Heading1">
    <w:name w:val="Heading1"/>
    <w:basedOn w:val="Normal"/>
    <w:pPr>
      <w:spacing w:before="400" w:after="100"/>
    </w:pPr>
    <w:rPr>
      <w:color w:val="d75504"/>
      <w:sz w:val="28"/>
      <w:szCs w:val="28"/>
      <w:smallCaps w:val="0"/>
      <w:caps w:val="1"/>
    </w:rPr>
  </w:style>
  <w:style w:type="paragraph" w:styleId="Heading2">
    <w:name w:val="Heading2"/>
    <w:basedOn w:val="Normal"/>
    <w:pPr>
      <w:spacing w:before="300"/>
    </w:pPr>
    <w:rPr>
      <w:color w:val="287c96"/>
      <w:sz w:val="24"/>
      <w:szCs w:val="24"/>
      <w:smallCaps w:val="0"/>
      <w:caps w:val="1"/>
    </w:rPr>
  </w:style>
  <w:style w:type="paragraph" w:styleId="Heading3">
    <w:name w:val="Heading3"/>
    <w:basedOn w:val="Normal"/>
    <w:pPr>
      <w:spacing w:before="200"/>
    </w:pPr>
    <w:rPr>
      <w:b w:val="1"/>
      <w:bCs w:val="1"/>
    </w:rPr>
  </w:style>
  <w:style w:type="paragraph" w:styleId="Heading4">
    <w:name w:val="Heading4"/>
    <w:basedOn w:val="Normal"/>
    <w:pPr>
      <w:spacing w:before="200"/>
    </w:pPr>
    <w:rPr>
      <w:b w:val="1"/>
      <w:bCs w:val="1"/>
    </w:rPr>
  </w:style>
  <w:style w:type="paragraph" w:styleId="Heading5">
    <w:name w:val="Heading5"/>
    <w:basedOn w:val="Normal"/>
    <w:pPr>
      <w:spacing w:before="200"/>
    </w:pPr>
    <w:rPr>
      <w:b w:val="1"/>
      <w:bCs w:val="1"/>
    </w:rPr>
  </w:style>
  <w:style w:type="paragraph" w:styleId="Heading6">
    <w:name w:val="Heading6"/>
    <w:basedOn w:val="Normal"/>
    <w:pPr>
      <w:spacing w:before="200"/>
    </w:pPr>
    <w:rPr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Relationship Id="rId8" Type="http://schemas.openxmlformats.org/officeDocument/2006/relationships/hyperlink" Target="https://www.psrb.com/office-location/indianapolis/" TargetMode="External"/><Relationship Id="rId9" Type="http://schemas.openxmlformats.org/officeDocument/2006/relationships/hyperlink" Target="https://www.psrb.com/practice/business/" TargetMode="External"/><Relationship Id="rId10" Type="http://schemas.openxmlformats.org/officeDocument/2006/relationships/hyperlink" Target="https://www.psrb.com/practice/real-estate/" TargetMode="External"/><Relationship Id="rId11" Type="http://schemas.openxmlformats.org/officeDocument/2006/relationships/hyperlink" Target="https://www.psrb.com/industry/energy-utilities/" TargetMode="External"/><Relationship Id="rId12" Type="http://schemas.openxmlformats.org/officeDocument/2006/relationships/hyperlink" Target="https://www.psrb.com/industry/individuals-closely-held-businesses/" TargetMode="External"/><Relationship Id="rId13" Type="http://schemas.openxmlformats.org/officeDocument/2006/relationships/hyperlink" Target="https://www.psrb.com/industry/petroleum-marketers/" TargetMode="External"/><Relationship Id="rId14" Type="http://schemas.openxmlformats.org/officeDocument/2006/relationships/hyperlink" Target="https://www.psrb.com/industry/real-estate-development-construction/" TargetMode="Externa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png"/><Relationship Id="rId2" Type="http://schemas.openxmlformats.org/officeDocument/2006/relationships/hyperlink" Target="http://www.psrb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2024-12-12T14:54:49+00:00</dcterms:created>
  <dcterms:modified xsi:type="dcterms:W3CDTF">2024-12-12T14:54:49+00:00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