
<file path=[Content_Types].xml><?xml version="1.0" encoding="utf-8"?>
<Types xmlns="http://schemas.openxmlformats.org/package/2006/content-types">
  <Default Extension="emf" ContentType="image/x-emf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BCA9DCB" w14:textId="4EEB59AD" w:rsidR="004341B2" w:rsidRPr="00D668FB" w:rsidRDefault="009E7D7E" w:rsidP="004341B2">
      <w:pPr>
        <w:rPr>
          <w:del w:id="5" w:author="Comparison" w:date="2026-09-22T12:58:00Z" w16du:dateUtc="2026-09-22T16:58:00Z"/>
          <w:sz w:val="28"/>
          <w:szCs w:val="28"/>
        </w:rPr>
      </w:pPr>
      <w:ins w:id="6" w:author="Comparison" w:date="2026-09-22T12:58:00Z" w16du:dateUtc="2026-09-22T16:58:00Z">
        <w:r>
          <w:rPr>
            <w:b/>
            <w:bCs/>
          </w:rPr>
          <w:t>ACB-kædemotor - frit konfigurerbar - CDC-1-ACB</w:t>
        </w:r>
        <w:r>
          <w:br/>
        </w:r>
        <w:r>
          <w:rPr>
            <w:b/>
            <w:bCs/>
          </w:rPr>
          <w:t>24 V DC / Tilpasset efter kundeønsker</w:t>
        </w:r>
        <w:r>
          <w:br/>
        </w:r>
        <w:r>
          <w:br/>
          <w:t>Elektrisk motor til integreret, usynlig montering i vinduesprofilen og til eftermontering.</w:t>
        </w:r>
        <w:r>
          <w:br/>
          <w:t>Praktisk til motoriseret åbning og lukning af vinduer og lemme.</w:t>
        </w:r>
        <w:r>
          <w:br/>
          <w:t>Kan bruges til Komfortopluk, røgudluftning og brandventilation iht. DS/EN12101-2</w:t>
        </w:r>
        <w:r>
          <w:br/>
          <w:t>Kan kombineres med alle D+H låsemotorer.</w:t>
        </w:r>
        <w:r>
          <w:br/>
        </w:r>
        <w:r>
          <w:br/>
        </w:r>
        <w:r>
          <w:rPr>
            <w:b/>
            <w:bCs/>
          </w:rPr>
          <w:t>Egenskaber:</w:t>
        </w:r>
        <w:r>
          <w:br/>
          <w:t>Integreret, frit parametrerbar slukningselektronik for at forhindre en defekt i tilfælde af overbelastning af vindue og motor.</w:t>
        </w:r>
        <w:r>
          <w:br/>
        </w:r>
        <w:r>
          <w:t>Integreret grænseflade ACB (Advanced Communication Bus) med åben Modbus RTU-protokol.</w:t>
        </w:r>
        <w:r>
          <w:br/>
          <w:t>Direkte integration af motoren gennem åben buskommunikation via ACB (Advanced Communication Bus), f.eks. i CTS (bygningsautomation).</w:t>
        </w:r>
        <w:r>
          <w:br/>
          <w:t>Lav driftsstøj takket være innovativ, akustisk afkobling af drevkomponenterne.</w:t>
        </w:r>
        <w:r>
          <w:br/>
          <w:t>Højpræcisionsmotor og synkron elektronik til synkron drift af op til 8 motorer.</w:t>
        </w:r>
        <w:r>
          <w:br/>
          <w:t>Korrosionsbeskyttet, hærdet, stålkæde, vedligeholdelsesfri takket være livstidssmøring.</w:t>
        </w:r>
        <w:r>
          <w:br/>
        </w:r>
        <w:r>
          <w:t>Highspeed-funktion (-HS) til hurtigt opluk af vinduer i tilfælde af brand (ABV).</w:t>
        </w:r>
        <w:r>
          <w:br/>
          <w:t>Justerbart, flertrins klembeskyttelsessystem (løbetid, kraft, åbning).</w:t>
        </w:r>
        <w:r>
          <w:br/>
          <w:t>Automatisk aflastning af tætningsbåndet efter lukning beskytter tætningslister.</w:t>
        </w:r>
        <w:r>
          <w:br/>
          <w:t>Lavt kabelforbrug med mulighed for gennemsløjfning af op til 3 motorer.</w:t>
        </w:r>
        <w:r>
          <w:br/>
          <w:t>Enkel installation takket være stik med beskyttelse mod omvendt polaritet.</w:t>
        </w:r>
        <w:r>
          <w:br/>
          <w:t>Tilslutning valgfrit mulig fra venstre eller højre (forsyning inkl. bussignaler).</w:t>
        </w:r>
        <w:r>
          <w:br/>
        </w:r>
        <w:r>
          <w:t>Kan parametriseres individuelt via D+H SCS-software.</w:t>
        </w:r>
        <w:r>
          <w:br/>
        </w:r>
        <w:r>
          <w:br/>
        </w:r>
        <w:r>
          <w:rPr>
            <w:b/>
            <w:bCs/>
          </w:rPr>
          <w:t>Funktionsbeskrivelse ACB</w:t>
        </w:r>
        <w:r>
          <w:br/>
          <w:t>Sikker ABV-central kommunikation gennem krypteret dataoverførsel mellem centraler og motorer fra D+H Mechatronic AG.</w:t>
        </w:r>
        <w:r>
          <w:br/>
          <w:t>Direkte styring af motoren via ACB mulig.</w:t>
        </w:r>
        <w:r>
          <w:br/>
          <w:t>Som standard er motoren indstillet med drift med pol-skift fra fabrikken.</w:t>
        </w:r>
        <w:r>
          <w:br/>
          <w:t>Præcis styring af position og feedback, herunder angivelser af den faktiske position.</w:t>
        </w:r>
        <w:r>
          <w:br/>
          <w:t>Åbne- og lukke meddelelser kommer direkte fra motoren via ACB-kommunikation.</w:t>
        </w:r>
        <w:r>
          <w:br/>
        </w:r>
        <w:r>
          <w:t>Motorens generelle status, som f.eks. samlet kørestrækning, antal aktiveringer, diagnostik og nødfunktion, kan evalueres.</w:t>
        </w:r>
        <w:r>
          <w:br/>
          <w:t>  </w:t>
        </w:r>
        <w:r>
          <w:br/>
        </w:r>
        <w:r>
          <w:rPr>
            <w:b/>
            <w:bCs/>
          </w:rPr>
          <w:t>Udvidelsesfunktioner:</w:t>
        </w:r>
        <w:r>
          <w:br/>
        </w:r>
        <w:r>
          <w:rPr>
            <w:b/>
            <w:bCs/>
          </w:rPr>
          <w:t>Option "SBD/SBU"</w:t>
        </w:r>
        <w:r>
          <w:t xml:space="preserve"> - Korrosionsbeskyttet, hærdet stålkæde i sidebue-design til lave karmhøjder</w:t>
        </w:r>
        <w:r>
          <w:br/>
        </w:r>
        <w:r>
          <w:rPr>
            <w:b/>
            <w:bCs/>
          </w:rPr>
          <w:t xml:space="preserve">Option "ZB" </w:t>
        </w:r>
        <w:r>
          <w:t>- Vindebroanvendelse til sidemontering af motoren på vinduet</w:t>
        </w:r>
        <w:r>
          <w:br/>
        </w:r>
        <w:r>
          <w:rPr>
            <w:b/>
            <w:bCs/>
          </w:rPr>
          <w:t xml:space="preserve">Option "CP" </w:t>
        </w:r>
        <w:r>
          <w:t>- Brugertilpasset motorfunktionsprogrammering såsom løbetid, kraft og åbning</w:t>
        </w:r>
        <w:r>
          <w:br/>
        </w:r>
        <w:r>
          <w:rPr>
            <w:b/>
            <w:bCs/>
          </w:rPr>
          <w:t xml:space="preserve">Option "HP" </w:t>
        </w:r>
        <w:r>
          <w:t>- Åbningsprogrammering</w:t>
        </w:r>
        <w:r>
          <w:br/>
        </w:r>
        <w:r>
          <w:rPr>
            <w:b/>
            <w:bCs/>
          </w:rPr>
          <w:t xml:space="preserve">Option "VP" </w:t>
        </w:r>
        <w:r>
          <w:t>- Signal til forbindelse med D+H BSY+ låsemotorer</w:t>
        </w:r>
        <w:r>
          <w:br/>
        </w:r>
        <w:r>
          <w:rPr>
            <w:b/>
            <w:bCs/>
          </w:rPr>
          <w:t xml:space="preserve">Option "KM" </w:t>
        </w:r>
        <w:r>
          <w:t>- Kraftig motor-gear-enhed med øget kraft (op til 400 N) til at åbne og lukke tunge parallelsprossede og hæve-/sænkevindue/tophængte vinduer.</w:t>
        </w:r>
        <w:r>
          <w:br/>
        </w:r>
        <w:r>
          <w:rPr>
            <w:b/>
            <w:bCs/>
          </w:rPr>
          <w:t xml:space="preserve">Option "LS" </w:t>
        </w:r>
        <w:r>
          <w:t>- Lavhastigheds-programmering i LUKKET-retning til 5 mm/s</w:t>
        </w:r>
        <w:r>
          <w:br/>
        </w:r>
        <w:r>
          <w:rPr>
            <w:b/>
            <w:bCs/>
          </w:rPr>
          <w:t>Option "SA"</w:t>
        </w:r>
        <w:r>
          <w:t xml:space="preserve"> - "Afbryder ÅBEN" endepositionsmeddelelse</w:t>
        </w:r>
        <w:r>
          <w:br/>
        </w:r>
        <w:r>
          <w:rPr>
            <w:b/>
            <w:bCs/>
          </w:rPr>
          <w:t>Option "SZ"</w:t>
        </w:r>
        <w:r>
          <w:t xml:space="preserve"> - "Afbryder LUKKET" endepositionsmeddelelse</w:t>
        </w:r>
        <w:r>
          <w:br/>
        </w:r>
        <w:r>
          <w:rPr>
            <w:b/>
            <w:bCs/>
          </w:rPr>
          <w:t>Option "SA-SZ"</w:t>
        </w:r>
        <w:r>
          <w:t xml:space="preserve"> - "Afbryder ÅBEN" og "Afbryder LUKKET" endepositionsmeddelelse</w:t>
        </w:r>
        <w:r>
          <w:br/>
        </w:r>
        <w:r>
          <w:rPr>
            <w:b/>
            <w:bCs/>
          </w:rPr>
          <w:t>Option "AS2"</w:t>
        </w:r>
        <w:r>
          <w:t xml:space="preserve"> - Akustisk signal i overensstemmelse med beskyttelsesklasse 2 i henhold til MaschRL/42/EG</w:t>
        </w:r>
        <w:r>
          <w:br/>
        </w:r>
        <w:r>
          <w:rPr>
            <w:b/>
            <w:bCs/>
          </w:rPr>
          <w:t>Option "AS3"</w:t>
        </w:r>
        <w:r>
          <w:t xml:space="preserve"> - Akustisk signal i overensstemmelse med beskyttelsesklasse 3 i henhold til MaschRL/42/EG</w:t>
        </w:r>
        <w:r>
          <w:br/>
        </w:r>
        <w:r>
          <w:rPr>
            <w:b/>
            <w:bCs/>
          </w:rPr>
          <w:t>Option "SKS"</w:t>
        </w:r>
        <w:r>
          <w:t xml:space="preserve"> - Mulighed for direkte tilslutning af en klembeskyttelsesliste eller en optisk sensor til </w:t>
        </w:r>
        <w:r>
          <w:lastRenderedPageBreak/>
          <w:t>overvågning af lukkekanten på motoren</w:t>
        </w:r>
        <w:r>
          <w:br/>
        </w:r>
        <w:r>
          <w:rPr>
            <w:b/>
            <w:bCs/>
          </w:rPr>
          <w:t xml:space="preserve">Option "specialfarve" </w:t>
        </w:r>
        <w:r>
          <w:t>- lakering til perfekt integration i facadens udseende i henhold til RAL, DB, NCS</w:t>
        </w:r>
        <w:r>
          <w:br/>
        </w:r>
        <w:r>
          <w:br/>
        </w:r>
        <w:r>
          <w:rPr>
            <w:b/>
            <w:bCs/>
          </w:rPr>
          <w:t>Tekniske data:</w:t>
        </w:r>
        <w:r>
          <w:br/>
          <w:t>Forsyning: 24 V DC / ±15 %</w:t>
        </w:r>
        <w:r>
          <w:br/>
          <w:t>Strømforbrug:</w:t>
        </w:r>
        <w:r>
          <w:br/>
        </w:r>
        <w:r>
          <w:rPr>
            <w:color w:val="E10025"/>
          </w:rPr>
          <w:t>0,6 A (til 350 mm åbning)</w:t>
        </w:r>
        <w:r>
          <w:br/>
        </w:r>
        <w:r>
          <w:rPr>
            <w:color w:val="0092D4"/>
          </w:rPr>
          <w:t>0,8 A (til 500 + 600 mm åbning)</w:t>
        </w:r>
        <w:r>
          <w:br/>
        </w:r>
        <w:r>
          <w:rPr>
            <w:color w:val="0092D4"/>
          </w:rPr>
          <w:t>1 A (til 700 mm åbning)</w:t>
        </w:r>
        <w:r>
          <w:br/>
        </w:r>
        <w:r>
          <w:rPr>
            <w:color w:val="6DB755"/>
          </w:rPr>
          <w:t>1 A (til 800 - 1300 mm åbning)</w:t>
        </w:r>
        <w:r>
          <w:br/>
          <w:t>Indkoblingstid: 30 % (TIL: 3 Min. / FRA: 7 Min.)</w:t>
        </w:r>
        <w:r>
          <w:br/>
          <w:t>Udkobling: Integreret elektronisk belastningsafbryder</w:t>
        </w:r>
        <w:r>
          <w:br/>
          <w:t>Konfiguration: Main eller Sub</w:t>
        </w:r>
        <w:r>
          <w:br/>
          <w:t>Design: Højre eller venstre</w:t>
        </w:r>
        <w:r>
          <w:br/>
          <w:t>Trykkraft: 250 N</w:t>
        </w:r>
        <w:r>
          <w:br/>
          <w:t>Trækkraft: 250 N</w:t>
        </w:r>
        <w:r>
          <w:br/>
          <w:t>Nominel låsekraft **: 1500 N</w:t>
        </w:r>
        <w:r>
          <w:br/>
          <w:t>Levetid: 20000 dobbeltoperationer *</w:t>
        </w:r>
        <w:r>
          <w:br/>
          <w:t>Åbning:300 mm - 1300 mm</w:t>
        </w:r>
        <w:r>
          <w:br/>
          <w:t>Hastighed ÅBNE: 6,7 mm/s</w:t>
        </w:r>
        <w:r>
          <w:br/>
          <w:t>Hastighed ÅBNE - ABV:</w:t>
        </w:r>
        <w:r>
          <w:br/>
        </w:r>
        <w:r>
          <w:rPr>
            <w:color w:val="E10025"/>
          </w:rPr>
          <w:t>9,4 mm/s (til 350 mm åbning)</w:t>
        </w:r>
        <w:r>
          <w:br/>
        </w:r>
        <w:r>
          <w:rPr>
            <w:color w:val="0092D4"/>
          </w:rPr>
          <w:t>13,6 mm/s (til 500 + 700 mm åbning)</w:t>
        </w:r>
        <w:r>
          <w:br/>
        </w:r>
        <w:r>
          <w:rPr>
            <w:color w:val="6DB755"/>
          </w:rPr>
          <w:t>15 mm/s (til 800 - 1300 mm åbning)</w:t>
        </w:r>
        <w:r>
          <w:br/>
          <w:t>Hastighed LUKKE:</w:t>
        </w:r>
        <w:r>
          <w:br/>
        </w:r>
        <w:r>
          <w:rPr>
            <w:color w:val="E10025"/>
          </w:rPr>
          <w:t>5 mm/s (til 350 mm åbning)</w:t>
        </w:r>
        <w:r>
          <w:br/>
        </w:r>
        <w:r>
          <w:rPr>
            <w:color w:val="0092D4"/>
          </w:rPr>
          <w:t>6,7 mm/s (til 500 + 700 mm åbning)</w:t>
        </w:r>
        <w:r>
          <w:br/>
        </w:r>
        <w:r>
          <w:rPr>
            <w:color w:val="6DB755"/>
          </w:rPr>
          <w:t>6,7 mm/s (til 800 - 1300 mm åbning)</w:t>
        </w:r>
        <w:r>
          <w:br/>
          <w:t>Beskyttelsesklasse: IP 32</w:t>
        </w:r>
        <w:r>
          <w:br/>
          <w:t>Måling af lydtryk (støjemission): LpA ≤ 35 dB(A)</w:t>
        </w:r>
        <w:r>
          <w:br/>
          <w:t>Temperaturområde: -15 °C (-5 °C ***) ... +75 °C</w:t>
        </w:r>
        <w:r>
          <w:br/>
          <w:t>Temperaturstandsikkerhed: B300 (30 min / 300 °C)</w:t>
        </w:r>
        <w:r>
          <w:br/>
          <w:t>Hus: Aluminium</w:t>
        </w:r>
        <w:r>
          <w:br/>
          <w:t>Farve: Specialfarve i henhold til RAL/DB/NCS</w:t>
        </w:r>
        <w:r>
          <w:br/>
          <w:t>Tilslutning: Silikonekabel</w:t>
        </w:r>
        <w:r>
          <w:br/>
          <w:t>B x H x D: 405-885 (åbningsafhængig) x 30 x 39 mm</w:t>
        </w:r>
        <w:r>
          <w:br/>
        </w:r>
        <w:r>
          <w:br/>
          <w:t>* Ved lodret anvendelse skal D+H-forhandleren kontaktes!</w:t>
        </w:r>
        <w:r>
          <w:br/>
          <w:t>** Afhængig af fastgørelsen, *** iht. VdS 2580</w:t>
        </w:r>
        <w:r>
          <w:br/>
        </w:r>
        <w:r>
          <w:br/>
        </w:r>
        <w:r>
          <w:rPr>
            <w:b/>
            <w:bCs/>
          </w:rPr>
          <w:t>Leverance:</w:t>
        </w:r>
        <w:r>
          <w:br/>
        </w:r>
        <w:r>
          <w:t>Motor, silikoneforbindelseskabel med systemstik, brugsanvisning</w:t>
        </w:r>
        <w:r>
          <w:br/>
        </w:r>
        <w:r>
          <w:br/>
          <w:t>Brand: D+H</w:t>
        </w:r>
        <w:r>
          <w:br/>
          <w:t>Type: CDC-1-ACB</w:t>
        </w:r>
        <w:r>
          <w:br/>
        </w:r>
        <w:r>
          <w:rPr>
            <w:b/>
            <w:bCs/>
          </w:rPr>
          <w:t>Art.nr.:</w:t>
        </w:r>
        <w:r>
          <w:t xml:space="preserve"> 26.100.00</w:t>
        </w:r>
        <w:r>
          <w:br/>
        </w:r>
        <w:r>
          <w:br/>
        </w:r>
        <w:r>
          <w:br/>
        </w:r>
        <w:r>
          <w:br/>
        </w:r>
        <w:r>
          <w:rPr>
            <w:b/>
            <w:bCs/>
          </w:rPr>
          <w:t xml:space="preserve">                    Mængde: .......... stk     Pris: ................. DKK     Total: ................. DKK</w:t>
        </w:r>
        <w:r>
          <w:br/>
        </w:r>
        <w:r>
          <w:br/>
        </w:r>
        <w:r>
          <w:br/>
        </w:r>
        <w:r>
          <w:rPr>
            <w:b/>
            <w:bCs/>
            <w:i/>
            <w:iCs/>
          </w:rPr>
          <w:t>Gør din lokale D+H-partner tilgængelig for designvarianter.</w:t>
        </w:r>
        <w:r>
          <w:br/>
        </w:r>
        <w:r>
          <w:br/>
        </w:r>
        <w:r>
          <w:br/>
        </w:r>
        <w:r>
          <w:br/>
          <w:t>https://www.dh-partner.com/dk/da/service/projekterings-hjaelp</w:t>
        </w:r>
        <w:r>
          <w:br/>
        </w:r>
        <w:r>
          <w:br/>
        </w:r>
        <w:r>
          <w:rPr>
            <w:b/>
            <w:bCs/>
          </w:rPr>
          <w:t>Vigtige noter:</w:t>
        </w:r>
        <w:r>
          <w:br/>
        </w:r>
        <w:r>
          <w:br/>
        </w:r>
        <w:r>
          <w:t>Denne produktbeskrivelse udgør ikke et udbud. Ansvaret for overensstemmelse med udbudsretlige krav påhviler den udbudsgivende projektant eller arkitekt.</w:t>
        </w:r>
        <w:r>
          <w:br/>
        </w:r>
        <w:r>
          <w:br/>
          <w:t>Montering og ibrugtagning skal ske i henhold til producentens anvisninger.</w:t>
        </w:r>
        <w:r>
          <w:br/>
        </w:r>
        <w:r>
          <w:br/>
          <w:t>Med forbehold for tekniske ændringer.</w:t>
        </w:r>
      </w:ins>
    </w:p>
    <w:p w14:paraId="35DC1073" w14:textId="02969533" w:rsidR="004341B2" w:rsidRPr="00D668FB" w:rsidRDefault="004341B2" w:rsidP="004341B2">
      <w:pPr>
        <w:rPr>
          <w:del w:id="7" w:author="Comparison" w:date="2026-09-22T12:58:00Z" w16du:dateUtc="2026-09-22T16:58:00Z"/>
          <w:b/>
          <w:bCs/>
          <w:sz w:val="28"/>
          <w:szCs w:val="28"/>
          <w:u w:val="single"/>
        </w:rPr>
      </w:pPr>
      <w:del w:id="8" w:author="Comparison" w:date="2026-09-22T12:58:00Z" w16du:dateUtc="2026-09-22T16:58:00Z">
        <w:r w:rsidRPr="00D668FB">
          <w:rPr>
            <w:b/>
            <w:bCs/>
            <w:sz w:val="28"/>
            <w:szCs w:val="28"/>
            <w:u w:val="single"/>
          </w:rPr>
          <w:delText>Past Publications – York &amp; Scarborough Teaching Hospitals</w:delText>
        </w:r>
      </w:del>
    </w:p>
    <w:p w14:paraId="1B252E77" w14:textId="7C74479F" w:rsidR="004341B2" w:rsidRDefault="004341B2" w:rsidP="004341B2">
      <w:pPr>
        <w:rPr>
          <w:del w:id="9" w:author="Comparison" w:date="2026-09-22T12:58:00Z" w16du:dateUtc="2026-09-22T16:58:00Z"/>
        </w:rPr>
      </w:pPr>
    </w:p>
    <w:p w14:paraId="13EC880A" w14:textId="77777777" w:rsidR="004341B2" w:rsidRDefault="004341B2" w:rsidP="004341B2">
      <w:pPr>
        <w:rPr>
          <w:del w:id="10" w:author="Comparison" w:date="2026-09-22T12:58:00Z" w16du:dateUtc="2026-09-22T16:58:00Z"/>
        </w:rPr>
      </w:pPr>
    </w:p>
    <w:p w14:paraId="27146118" w14:textId="77777777" w:rsidR="004341B2" w:rsidRDefault="004341B2" w:rsidP="004341B2">
      <w:pPr>
        <w:pStyle w:val="ListParagraph"/>
        <w:numPr>
          <w:ilvl w:val="0"/>
          <w:numId w:val="1"/>
        </w:numPr>
        <w:rPr>
          <w:del w:id="11" w:author="Comparison" w:date="2026-09-22T12:58:00Z" w16du:dateUtc="2026-09-22T16:58:00Z"/>
          <w:rFonts w:eastAsia="Times New Roman"/>
        </w:rPr>
      </w:pPr>
      <w:del w:id="12" w:author="Comparison" w:date="2026-09-22T12:58:00Z" w16du:dateUtc="2026-09-22T16:58:00Z">
        <w:r>
          <w:rPr>
            <w:rFonts w:eastAsia="Times New Roman"/>
            <w:b/>
            <w:bCs/>
          </w:rPr>
          <w:delText>ClearNOF</w:delText>
        </w:r>
        <w:r>
          <w:rPr>
            <w:rFonts w:eastAsia="Times New Roman"/>
          </w:rPr>
          <w:delText xml:space="preserve"> </w:delText>
        </w:r>
      </w:del>
    </w:p>
    <w:p w14:paraId="53DDA25F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13" w:author="Comparison" w:date="2026-09-22T12:58:00Z" w16du:dateUtc="2026-09-22T16:58:00Z"/>
          <w:rFonts w:eastAsia="Times New Roman"/>
        </w:rPr>
      </w:pPr>
      <w:del w:id="14" w:author="Comparison" w:date="2026-09-22T12:58:00Z" w16du:dateUtc="2026-09-22T16:58:00Z">
        <w:r>
          <w:rPr>
            <w:rFonts w:eastAsia="Times New Roman"/>
          </w:rPr>
          <w:delText>A randomised trial of non-invasive cardiac output monitoring to guide haemodynamic optimisation in high risk patients undergoing urgent surgical repair of proximal femoral fractures, SJ Davies et al, </w:delText>
        </w:r>
        <w:r>
          <w:rPr>
            <w:rFonts w:eastAsia="Times New Roman"/>
            <w:i/>
            <w:iCs/>
          </w:rPr>
          <w:delText xml:space="preserve">Perioperative medicine </w:delText>
        </w:r>
        <w:r>
          <w:rPr>
            <w:rFonts w:eastAsia="Times New Roman"/>
          </w:rPr>
          <w:delText>(2019);</w:delText>
        </w:r>
      </w:del>
    </w:p>
    <w:p w14:paraId="78AAE961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15" w:author="Comparison" w:date="2026-09-22T12:58:00Z" w16du:dateUtc="2026-09-22T16:58:00Z"/>
          <w:rFonts w:eastAsia="Times New Roman"/>
        </w:rPr>
      </w:pPr>
      <w:del w:id="16" w:author="Comparison" w:date="2026-09-22T12:58:00Z" w16du:dateUtc="2026-09-22T16:58:00Z">
        <w:r>
          <w:fldChar w:fldCharType="begin"/>
        </w:r>
        <w:r>
          <w:delInstrText>HYPERLINK "https://gbr01.safelinks.protection.outlook.com/?url=https%3A%2F%2Fdoi.org%2F10.1186%2Fs13741-019-0119-x&amp;data=05%7C01%7Cmia.porteous2%40nhs.net%7C69f42d2a9f9a4462541508dbb4598575%7C37c354b285b047f5b22207b48d774ee3%7C0%7C0%7C638302068799328278%7CUnknown%7CTWFpbGZsb3d8eyJWIjoiMC4wLjAwMDAiLCJQIjoiV2luMzIiLCJBTiI6Ik1haWwiLCJXVCI6Mn0%3D%7C3000%7C%7C%7C&amp;sdata=MhyJr39C8Pz%2B7BnrsZurZYbB4beHfmwjDgJvgDy%2FB7k%3D&amp;reserved=0"</w:delInstrText>
        </w:r>
        <w:r>
          <w:fldChar w:fldCharType="separate"/>
        </w:r>
        <w:r>
          <w:rPr>
            <w:rStyle w:val="Hyperlink"/>
            <w:rFonts w:eastAsia="Times New Roman"/>
          </w:rPr>
          <w:delText>https://doi.org/10.1186/s13741-019-0119-x</w:delText>
        </w:r>
        <w:r>
          <w:fldChar w:fldCharType="end"/>
        </w:r>
      </w:del>
    </w:p>
    <w:p w14:paraId="4FC82A65" w14:textId="77777777" w:rsidR="004341B2" w:rsidRDefault="004341B2" w:rsidP="004341B2">
      <w:pPr>
        <w:pStyle w:val="ListParagraph"/>
        <w:ind w:left="1440"/>
        <w:rPr>
          <w:del w:id="17" w:author="Comparison" w:date="2026-09-22T12:58:00Z" w16du:dateUtc="2026-09-22T16:58:00Z"/>
        </w:rPr>
      </w:pPr>
    </w:p>
    <w:p w14:paraId="4D0F3DC8" w14:textId="77777777" w:rsidR="004341B2" w:rsidRDefault="004341B2" w:rsidP="004341B2">
      <w:pPr>
        <w:pStyle w:val="ListParagraph"/>
        <w:numPr>
          <w:ilvl w:val="0"/>
          <w:numId w:val="1"/>
        </w:numPr>
        <w:rPr>
          <w:del w:id="18" w:author="Comparison" w:date="2026-09-22T12:58:00Z" w16du:dateUtc="2026-09-22T16:58:00Z"/>
          <w:rFonts w:eastAsia="Times New Roman"/>
        </w:rPr>
      </w:pPr>
      <w:del w:id="19" w:author="Comparison" w:date="2026-09-22T12:58:00Z" w16du:dateUtc="2026-09-22T16:58:00Z">
        <w:r>
          <w:rPr>
            <w:rFonts w:eastAsia="Times New Roman"/>
            <w:b/>
            <w:bCs/>
          </w:rPr>
          <w:delText>Ventilatory inefficiency</w:delText>
        </w:r>
        <w:r>
          <w:rPr>
            <w:rFonts w:eastAsia="Times New Roman"/>
          </w:rPr>
          <w:delText xml:space="preserve"> </w:delText>
        </w:r>
      </w:del>
    </w:p>
    <w:p w14:paraId="5CC1FA5F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20" w:author="Comparison" w:date="2026-09-22T12:58:00Z" w16du:dateUtc="2026-09-22T16:58:00Z"/>
          <w:rFonts w:eastAsia="Times New Roman"/>
        </w:rPr>
      </w:pPr>
      <w:del w:id="21" w:author="Comparison" w:date="2026-09-22T12:58:00Z" w16du:dateUtc="2026-09-22T16:58:00Z">
        <w:r>
          <w:rPr>
            <w:rFonts w:eastAsia="Times New Roman"/>
          </w:rPr>
          <w:delText xml:space="preserve">Ventilatory inefficiency adversely affects outcomes and longer-term survival after planned colorectal cancer surgery, J Wilson et al, </w:delText>
        </w:r>
        <w:r>
          <w:rPr>
            <w:rFonts w:eastAsia="Times New Roman"/>
            <w:i/>
            <w:iCs/>
          </w:rPr>
          <w:delText>BJA</w:delText>
        </w:r>
        <w:r>
          <w:rPr>
            <w:rFonts w:eastAsia="Times New Roman"/>
          </w:rPr>
          <w:delText xml:space="preserve"> (2019);</w:delText>
        </w:r>
      </w:del>
    </w:p>
    <w:p w14:paraId="18AEEAC0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22" w:author="Comparison" w:date="2026-09-22T12:58:00Z" w16du:dateUtc="2026-09-22T16:58:00Z"/>
          <w:rFonts w:eastAsia="Times New Roman"/>
        </w:rPr>
      </w:pPr>
      <w:del w:id="23" w:author="Comparison" w:date="2026-09-22T12:58:00Z" w16du:dateUtc="2026-09-22T16:58:00Z">
        <w:r>
          <w:fldChar w:fldCharType="begin"/>
        </w:r>
        <w:r>
          <w:delInstrText>HYPERLINK "https://gbr01.safelinks.protection.outlook.com/?url=https%3A%2F%2Fdoi.org%2F10.1016%2Fj.bja.2019.01.032&amp;data=05%7C01%7Cmia.porteous2%40nhs.net%7C69f42d2a9f9a4462541508dbb4598575%7C37c354b285b047f5b22207b48d774ee3%7C0%7C0%7C638302068799328278%7CUnknown%7CTWFpbGZsb3d8eyJWIjoiMC4wLjAwMDAiLCJQIjoiV2luMzIiLCJBTiI6Ik1haWwiLCJXVCI6Mn0%3D%7C3000%7C%7C%7C&amp;sdata=iE7Koe7v8lNG6FwE0HeqCqogmtIn4jeLjpfzqwR5dCs%3D&amp;reserved=0"</w:delInstrText>
        </w:r>
        <w:r>
          <w:fldChar w:fldCharType="separate"/>
        </w:r>
        <w:r>
          <w:rPr>
            <w:rStyle w:val="Hyperlink"/>
            <w:rFonts w:eastAsia="Times New Roman"/>
          </w:rPr>
          <w:delText>https://doi.org/10.1016/j.bja.2019.01.032</w:delText>
        </w:r>
        <w:r>
          <w:fldChar w:fldCharType="end"/>
        </w:r>
        <w:r>
          <w:rPr>
            <w:rFonts w:eastAsia="Times New Roman"/>
          </w:rPr>
          <w:delText xml:space="preserve"> </w:delText>
        </w:r>
      </w:del>
    </w:p>
    <w:p w14:paraId="0970923B" w14:textId="77777777" w:rsidR="004341B2" w:rsidRDefault="004341B2" w:rsidP="004341B2">
      <w:pPr>
        <w:pStyle w:val="ListParagraph"/>
        <w:ind w:left="1440"/>
        <w:rPr>
          <w:del w:id="24" w:author="Comparison" w:date="2026-09-22T12:58:00Z" w16du:dateUtc="2026-09-22T16:58:00Z"/>
        </w:rPr>
      </w:pPr>
    </w:p>
    <w:p w14:paraId="3EA6AA0A" w14:textId="601FC417" w:rsidR="004341B2" w:rsidRDefault="004341B2" w:rsidP="004341B2">
      <w:pPr>
        <w:pStyle w:val="ListParagraph"/>
        <w:numPr>
          <w:ilvl w:val="0"/>
          <w:numId w:val="1"/>
        </w:numPr>
        <w:rPr>
          <w:del w:id="25" w:author="Comparison" w:date="2026-09-22T12:58:00Z" w16du:dateUtc="2026-09-22T16:58:00Z"/>
          <w:rFonts w:eastAsia="Times New Roman"/>
        </w:rPr>
      </w:pPr>
      <w:del w:id="26" w:author="Comparison" w:date="2026-09-22T12:58:00Z" w16du:dateUtc="2026-09-22T16:58:00Z">
        <w:r>
          <w:rPr>
            <w:rFonts w:eastAsia="Times New Roman"/>
            <w:b/>
            <w:bCs/>
          </w:rPr>
          <w:delText>ICAF-BETA</w:delText>
        </w:r>
      </w:del>
    </w:p>
    <w:p w14:paraId="1AD61BD9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27" w:author="Comparison" w:date="2026-09-22T12:58:00Z" w16du:dateUtc="2026-09-22T16:58:00Z"/>
          <w:rFonts w:eastAsia="Times New Roman"/>
        </w:rPr>
      </w:pPr>
      <w:del w:id="28" w:author="Comparison" w:date="2026-09-22T12:58:00Z" w16du:dateUtc="2026-09-22T16:58:00Z">
        <w:r>
          <w:rPr>
            <w:rFonts w:eastAsia="Times New Roman"/>
          </w:rPr>
          <w:delText xml:space="preserve">Exercise-induced myocardial dysfunction detected by cardiopulmonary exercise testing is associated with increased risk of mortality in major oncological colorectal surgery, SJ Davies et al, </w:delText>
        </w:r>
        <w:r>
          <w:rPr>
            <w:rFonts w:eastAsia="Times New Roman"/>
            <w:i/>
            <w:iCs/>
          </w:rPr>
          <w:delText>BJA</w:delText>
        </w:r>
        <w:r>
          <w:rPr>
            <w:rFonts w:eastAsia="Times New Roman"/>
          </w:rPr>
          <w:delText xml:space="preserve"> (2020)</w:delText>
        </w:r>
      </w:del>
    </w:p>
    <w:p w14:paraId="22F721FC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29" w:author="Comparison" w:date="2026-09-22T12:58:00Z" w16du:dateUtc="2026-09-22T16:58:00Z"/>
          <w:rFonts w:eastAsia="Times New Roman"/>
        </w:rPr>
      </w:pPr>
      <w:del w:id="30" w:author="Comparison" w:date="2026-09-22T12:58:00Z" w16du:dateUtc="2026-09-22T16:58:00Z">
        <w:r>
          <w:fldChar w:fldCharType="begin"/>
        </w:r>
        <w:r>
          <w:delInstrText>HYPERLINK "https://gbr01.safelinks.protection.outlook.com/?url=https%3A%2F%2Fdoi.org%2F0.1016%2Fj.bja.2019.12.043&amp;data=05%7C01%7Cmia.porteous2%40nhs.net%7C69f42d2a9f9a4462541508dbb4598575%7C37c354b285b047f5b22207b48d774ee3%7C0%7C0%7C638302068799328278%7CUnknown%7CTWFpbGZsb3d8eyJWIjoiMC4wLjAwMDAiLCJQIjoiV2luMzIiLCJBTiI6Ik1haWwiLCJXVCI6Mn0%3D%7C3000%7C%7C%7C&amp;sdata=v9Okz4wkugRsieNOqVxXq82Y8pB3NaFJziUXV5iw9Og%3D&amp;reserved=0"</w:delInstrText>
        </w:r>
        <w:r>
          <w:fldChar w:fldCharType="separate"/>
        </w:r>
        <w:r>
          <w:rPr>
            <w:rStyle w:val="Hyperlink"/>
            <w:rFonts w:eastAsia="Times New Roman"/>
          </w:rPr>
          <w:delText>https://doi.org/0.1016/j.bja.2019.12.043</w:delText>
        </w:r>
        <w:r>
          <w:fldChar w:fldCharType="end"/>
        </w:r>
      </w:del>
    </w:p>
    <w:p w14:paraId="7DDF8554" w14:textId="280F167D" w:rsidR="004341B2" w:rsidRDefault="004341B2" w:rsidP="004341B2">
      <w:pPr>
        <w:rPr>
          <w:del w:id="31" w:author="Comparison" w:date="2026-09-22T12:58:00Z" w16du:dateUtc="2026-09-22T16:58:00Z"/>
        </w:rPr>
      </w:pPr>
    </w:p>
    <w:p w14:paraId="65DE7906" w14:textId="77777777" w:rsidR="004341B2" w:rsidRDefault="004341B2" w:rsidP="004341B2">
      <w:pPr>
        <w:rPr>
          <w:del w:id="32" w:author="Comparison" w:date="2026-09-22T12:58:00Z" w16du:dateUtc="2026-09-22T16:58:00Z"/>
        </w:rPr>
      </w:pPr>
    </w:p>
    <w:p w14:paraId="030ADDFB" w14:textId="77777777" w:rsidR="004341B2" w:rsidRDefault="004341B2" w:rsidP="004341B2">
      <w:pPr>
        <w:pStyle w:val="ListParagraph"/>
        <w:numPr>
          <w:ilvl w:val="0"/>
          <w:numId w:val="1"/>
        </w:numPr>
        <w:rPr>
          <w:del w:id="33" w:author="Comparison" w:date="2026-09-22T12:58:00Z" w16du:dateUtc="2026-09-22T16:58:00Z"/>
          <w:rFonts w:eastAsia="Times New Roman"/>
          <w:b/>
          <w:bCs/>
        </w:rPr>
      </w:pPr>
      <w:del w:id="34" w:author="Comparison" w:date="2026-09-22T12:58:00Z" w16du:dateUtc="2026-09-22T16:58:00Z">
        <w:r>
          <w:rPr>
            <w:rFonts w:eastAsia="Times New Roman"/>
            <w:b/>
            <w:bCs/>
          </w:rPr>
          <w:delText>Ability of an Arterial Waveform Analysis–Derived Hypotension Prediction Index to Predict Future Hypotensive Events in Surgical Patients</w:delText>
        </w:r>
      </w:del>
    </w:p>
    <w:p w14:paraId="52F2A067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35" w:author="Comparison" w:date="2026-09-22T12:58:00Z" w16du:dateUtc="2026-09-22T16:58:00Z"/>
          <w:rFonts w:eastAsia="Times New Roman"/>
          <w:b/>
          <w:bCs/>
        </w:rPr>
      </w:pPr>
      <w:del w:id="36" w:author="Comparison" w:date="2026-09-22T12:58:00Z" w16du:dateUtc="2026-09-22T16:58:00Z">
        <w:r>
          <w:rPr>
            <w:rFonts w:eastAsia="Times New Roman"/>
          </w:rPr>
          <w:delText>Ability of an Arterial Waveform Analysis–Derived Hypotension Prediction Index to Predict Future Hypotensive Events in Surgical Patients, SJ Davies et al,</w:delText>
        </w:r>
        <w:r>
          <w:rPr>
            <w:rFonts w:eastAsia="Times New Roman"/>
            <w:b/>
            <w:bCs/>
          </w:rPr>
          <w:delText xml:space="preserve"> </w:delText>
        </w:r>
        <w:r>
          <w:rPr>
            <w:rStyle w:val="ej-journal-name"/>
            <w:rFonts w:eastAsia="Times New Roman"/>
            <w:i/>
            <w:iCs/>
            <w:color w:val="3B3030"/>
            <w:shd w:val="clear" w:color="auto" w:fill="FFFFFF"/>
          </w:rPr>
          <w:delText>Anesthesia &amp; Analgesia </w:delText>
        </w:r>
        <w:r>
          <w:fldChar w:fldCharType="begin"/>
        </w:r>
        <w:r>
          <w:delInstrText>HYPERLINK "https://gbr01.safelinks.protection.outlook.com/?url=https%3A%2F%2Fjournals.lww.com%2Fanesthesia-analgesia%2Ftoc%2F2020%2F02000&amp;data=05%7C01%7Cmia.porteous2%40nhs.net%7C69f42d2a9f9a4462541508dbb4598575%7C37c354b285b047f5b22207b48d774ee3%7C0%7C0%7C638302068799328278%7CUnknown%7CTWFpbGZsb3d8eyJWIjoiMC4wLjAwMDAiLCJQIjoiV2luMzIiLCJBTiI6Ik1haWwiLCJXVCI6Mn0%3D%7C3000%7C%7C%7C&amp;sdata=%2FwoNEuiIJ58u28wgcrdqCxbpi09%2FNPA8pYhGixg4J50%3D&amp;reserved=0"</w:delInstrText>
        </w:r>
        <w:r>
          <w:fldChar w:fldCharType="separate"/>
        </w:r>
        <w:r>
          <w:rPr>
            <w:rStyle w:val="Hyperlink"/>
            <w:rFonts w:eastAsia="Times New Roman"/>
            <w:color w:val="003A68"/>
            <w:shd w:val="clear" w:color="auto" w:fill="FFFFFF"/>
          </w:rPr>
          <w:delText>(</w:delText>
        </w:r>
        <w:r>
          <w:rPr>
            <w:rStyle w:val="Hyperlink"/>
            <w:rFonts w:eastAsia="Times New Roman"/>
            <w:color w:val="003A68"/>
            <w:u w:val="none"/>
            <w:shd w:val="clear" w:color="auto" w:fill="FFFFFF"/>
          </w:rPr>
          <w:delText>2020</w:delText>
        </w:r>
        <w:r>
          <w:fldChar w:fldCharType="end"/>
        </w:r>
        <w:r>
          <w:rPr>
            <w:rFonts w:eastAsia="Times New Roman"/>
            <w:color w:val="3B3030"/>
            <w:shd w:val="clear" w:color="auto" w:fill="FFFFFF"/>
          </w:rPr>
          <w:delText>);</w:delText>
        </w:r>
      </w:del>
    </w:p>
    <w:p w14:paraId="3BF5D9E4" w14:textId="30ED926D" w:rsidR="004341B2" w:rsidRDefault="004341B2" w:rsidP="004341B2">
      <w:pPr>
        <w:numPr>
          <w:ilvl w:val="1"/>
          <w:numId w:val="1"/>
        </w:numPr>
        <w:shd w:val="clear" w:color="auto" w:fill="FFFFFF"/>
        <w:spacing w:before="100" w:beforeAutospacing="1" w:after="100" w:afterAutospacing="1"/>
        <w:rPr>
          <w:del w:id="37" w:author="Comparison" w:date="2026-09-22T12:58:00Z" w16du:dateUtc="2026-09-22T16:58:00Z"/>
          <w:rFonts w:eastAsia="Times New Roman"/>
          <w:color w:val="212121"/>
        </w:rPr>
      </w:pPr>
      <w:del w:id="38" w:author="Comparison" w:date="2026-09-22T12:58:00Z" w16du:dateUtc="2026-09-22T16:58:00Z">
        <w:r>
          <w:rPr>
            <w:rStyle w:val="identifier"/>
            <w:rFonts w:eastAsia="Times New Roman"/>
            <w:color w:val="212121"/>
          </w:rPr>
          <w:delText>https://doi.org/</w:delText>
        </w:r>
        <w:r>
          <w:fldChar w:fldCharType="begin"/>
        </w:r>
        <w:r>
          <w:delInstrText>HYPERLINK "https://gbr01.safelinks.protection.outlook.com/?url=https%3A%2F%2Fdoi.org%2F10.1213%2Fane.0000000000004121&amp;data=05%7C01%7Cmia.porteous2%40nhs.net%7C69f42d2a9f9a4462541508dbb4598575%7C37c354b285b047f5b22207b48d774ee3%7C0%7C0%7C638302068799484496%7CUnknown%7CTWFpbGZsb3d8eyJWIjoiMC4wLjAwMDAiLCJQIjoiV2luMzIiLCJBTiI6Ik1haWwiLCJXVCI6Mn0%3D%7C3000%7C%7C%7C&amp;sdata=PnqXi6JjB%2B73wz51QHf%2FiDeL6AprWcYgB3XsWE3s71M%3D&amp;reserved=0" \t "_blank"</w:delInstrText>
        </w:r>
        <w:r>
          <w:fldChar w:fldCharType="separate"/>
        </w:r>
        <w:r>
          <w:rPr>
            <w:rStyle w:val="Hyperlink"/>
            <w:rFonts w:eastAsia="Times New Roman"/>
            <w:color w:val="0071BC"/>
          </w:rPr>
          <w:delText>10.1213/ANE.0000000000004121</w:delText>
        </w:r>
        <w:r>
          <w:fldChar w:fldCharType="end"/>
        </w:r>
        <w:r>
          <w:rPr>
            <w:rStyle w:val="identifier"/>
            <w:rFonts w:eastAsia="Times New Roman"/>
            <w:color w:val="212121"/>
          </w:rPr>
          <w:delText xml:space="preserve"> </w:delText>
        </w:r>
      </w:del>
    </w:p>
    <w:p w14:paraId="25172941" w14:textId="77777777" w:rsidR="004341B2" w:rsidRPr="004341B2" w:rsidRDefault="004341B2" w:rsidP="004341B2">
      <w:pPr>
        <w:shd w:val="clear" w:color="auto" w:fill="FFFFFF"/>
        <w:spacing w:before="100" w:beforeAutospacing="1" w:after="100" w:afterAutospacing="1"/>
        <w:ind w:left="1440"/>
        <w:rPr>
          <w:del w:id="39" w:author="Comparison" w:date="2026-09-22T12:58:00Z" w16du:dateUtc="2026-09-22T16:58:00Z"/>
          <w:rFonts w:eastAsia="Times New Roman"/>
          <w:color w:val="212121"/>
        </w:rPr>
      </w:pPr>
    </w:p>
    <w:p w14:paraId="68D37450" w14:textId="77777777" w:rsidR="004341B2" w:rsidRDefault="004341B2" w:rsidP="004341B2">
      <w:pPr>
        <w:pStyle w:val="ListParagraph"/>
        <w:numPr>
          <w:ilvl w:val="0"/>
          <w:numId w:val="1"/>
        </w:numPr>
        <w:rPr>
          <w:del w:id="40" w:author="Comparison" w:date="2026-09-22T12:58:00Z" w16du:dateUtc="2026-09-22T16:58:00Z"/>
          <w:rFonts w:eastAsia="Times New Roman"/>
        </w:rPr>
      </w:pPr>
      <w:del w:id="41" w:author="Comparison" w:date="2026-09-22T12:58:00Z" w16du:dateUtc="2026-09-22T16:58:00Z">
        <w:r>
          <w:rPr>
            <w:rFonts w:eastAsia="Times New Roman"/>
            <w:b/>
            <w:bCs/>
          </w:rPr>
          <w:delText>Abdominal Wall Hernia Study</w:delText>
        </w:r>
      </w:del>
    </w:p>
    <w:p w14:paraId="1322064B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42" w:author="Comparison" w:date="2026-09-22T12:58:00Z" w16du:dateUtc="2026-09-22T16:58:00Z"/>
          <w:rFonts w:eastAsia="Times New Roman"/>
        </w:rPr>
      </w:pPr>
      <w:del w:id="43" w:author="Comparison" w:date="2026-09-22T12:58:00Z" w16du:dateUtc="2026-09-22T16:58:00Z">
        <w:r>
          <w:rPr>
            <w:rFonts w:eastAsia="Times New Roman"/>
          </w:rPr>
          <w:delText xml:space="preserve">A structured pathway for developing your complex abdominal hernia service: our York pathway, O Smith et al, </w:delText>
        </w:r>
        <w:r>
          <w:rPr>
            <w:rFonts w:eastAsia="Times New Roman"/>
            <w:i/>
            <w:iCs/>
          </w:rPr>
          <w:delText>Hernia</w:delText>
        </w:r>
        <w:r>
          <w:rPr>
            <w:rFonts w:eastAsia="Times New Roman"/>
          </w:rPr>
          <w:delText xml:space="preserve"> (2021);</w:delText>
        </w:r>
      </w:del>
    </w:p>
    <w:p w14:paraId="1B582DEF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44" w:author="Comparison" w:date="2026-09-22T12:58:00Z" w16du:dateUtc="2026-09-22T16:58:00Z"/>
          <w:rFonts w:eastAsia="Times New Roman"/>
        </w:rPr>
      </w:pPr>
      <w:del w:id="45" w:author="Comparison" w:date="2026-09-22T12:58:00Z" w16du:dateUtc="2026-09-22T16:58:00Z">
        <w:r>
          <w:fldChar w:fldCharType="begin"/>
        </w:r>
        <w:r>
          <w:delInstrText>HYPERLINK "https://gbr01.safelinks.protection.outlook.com/?url=https%3A%2F%2Fdoi.org%2F10.1007%2Fs10029-020-02354-9&amp;data=05%7C01%7Cmia.porteous2%40nhs.net%7C69f42d2a9f9a4462541508dbb4598575%7C37c354b285b047f5b22207b48d774ee3%7C0%7C0%7C638302068799484496%7CUnknown%7CTWFpbGZsb3d8eyJWIjoiMC4wLjAwMDAiLCJQIjoiV2luMzIiLCJBTiI6Ik1haWwiLCJXVCI6Mn0%3D%7C3000%7C%7C%7C&amp;sdata=JYz73TpE5cbsCADeW6zQz9MZZ7k9Y%2BrUbSHuN6Iufmo%3D&amp;reserved=0"</w:delInstrText>
        </w:r>
        <w:r>
          <w:fldChar w:fldCharType="separate"/>
        </w:r>
        <w:r>
          <w:rPr>
            <w:rStyle w:val="Hyperlink"/>
            <w:rFonts w:eastAsia="Times New Roman"/>
          </w:rPr>
          <w:delText>https://doi.org/10.1007/s10029-020-02354-9</w:delText>
        </w:r>
        <w:r>
          <w:fldChar w:fldCharType="end"/>
        </w:r>
        <w:r>
          <w:rPr>
            <w:rFonts w:eastAsia="Times New Roman"/>
          </w:rPr>
          <w:delText xml:space="preserve"> </w:delText>
        </w:r>
      </w:del>
    </w:p>
    <w:p w14:paraId="20E6F6A1" w14:textId="77777777" w:rsidR="004341B2" w:rsidRDefault="004341B2" w:rsidP="004341B2">
      <w:pPr>
        <w:rPr>
          <w:del w:id="46" w:author="Comparison" w:date="2026-09-22T12:58:00Z" w16du:dateUtc="2026-09-22T16:58:00Z"/>
        </w:rPr>
      </w:pPr>
    </w:p>
    <w:p w14:paraId="579038EE" w14:textId="77777777" w:rsidR="004341B2" w:rsidRDefault="004341B2" w:rsidP="004341B2">
      <w:pPr>
        <w:pStyle w:val="ListParagraph"/>
        <w:numPr>
          <w:ilvl w:val="0"/>
          <w:numId w:val="1"/>
        </w:numPr>
        <w:rPr>
          <w:del w:id="47" w:author="Comparison" w:date="2026-09-22T12:58:00Z" w16du:dateUtc="2026-09-22T16:58:00Z"/>
          <w:rFonts w:eastAsia="Times New Roman"/>
          <w:b/>
          <w:bCs/>
        </w:rPr>
      </w:pPr>
      <w:del w:id="48" w:author="Comparison" w:date="2026-09-22T12:58:00Z" w16du:dateUtc="2026-09-22T16:58:00Z">
        <w:r>
          <w:rPr>
            <w:rFonts w:eastAsia="Times New Roman"/>
            <w:b/>
            <w:bCs/>
          </w:rPr>
          <w:delText xml:space="preserve">NEWS </w:delText>
        </w:r>
      </w:del>
    </w:p>
    <w:p w14:paraId="52E4F660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49" w:author="Comparison" w:date="2026-09-22T12:58:00Z" w16du:dateUtc="2026-09-22T16:58:00Z"/>
          <w:rFonts w:eastAsia="Times New Roman"/>
        </w:rPr>
      </w:pPr>
      <w:del w:id="50" w:author="Comparison" w:date="2026-09-22T12:58:00Z" w16du:dateUtc="2026-09-22T16:58:00Z">
        <w:r>
          <w:rPr>
            <w:rFonts w:eastAsia="Times New Roman"/>
          </w:rPr>
          <w:delText xml:space="preserve">Use of the first National Early Warning Score recorded within 24 hours of admission to estimate the risk of in-hospital mortality in unplanned COVID-19 patients, D Richardson et al, </w:delText>
        </w:r>
        <w:r>
          <w:rPr>
            <w:rFonts w:eastAsia="Times New Roman"/>
            <w:i/>
            <w:iCs/>
          </w:rPr>
          <w:delText>BMJ Open</w:delText>
        </w:r>
        <w:r>
          <w:rPr>
            <w:rFonts w:eastAsia="Times New Roman"/>
          </w:rPr>
          <w:delText xml:space="preserve"> (2021)</w:delText>
        </w:r>
      </w:del>
    </w:p>
    <w:p w14:paraId="34CC9AA4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51" w:author="Comparison" w:date="2026-09-22T12:58:00Z" w16du:dateUtc="2026-09-22T16:58:00Z"/>
          <w:rFonts w:eastAsia="Times New Roman"/>
        </w:rPr>
      </w:pPr>
      <w:del w:id="52" w:author="Comparison" w:date="2026-09-22T12:58:00Z" w16du:dateUtc="2026-09-22T16:58:00Z">
        <w:r>
          <w:fldChar w:fldCharType="begin"/>
        </w:r>
        <w:r>
          <w:delInstrText>HYPERLINK "https://gbr01.safelinks.protection.outlook.com/?url=https%3A%2F%2Fdoi.org%2F10.1136%2Fbmjopen-2020-043721&amp;data=05%7C01%7Cmia.porteous2%40nhs.net%7C69f42d2a9f9a4462541508dbb4598575%7C37c354b285b047f5b22207b48d774ee3%7C0%7C0%7C638302068799484496%7CUnknown%7CTWFpbGZsb3d8eyJWIjoiMC4wLjAwMDAiLCJQIjoiV2luMzIiLCJBTiI6Ik1haWwiLCJXVCI6Mn0%3D%7C3000%7C%7C%7C&amp;sdata=9Kj3qYnnFLGiOiJ6hSK3%2BofkjRv5YDcOIv%2B1rjf7SUA%3D&amp;reserved=0"</w:delInstrText>
        </w:r>
        <w:r>
          <w:fldChar w:fldCharType="separate"/>
        </w:r>
        <w:r>
          <w:rPr>
            <w:rStyle w:val="Hyperlink"/>
            <w:rFonts w:eastAsia="Times New Roman"/>
          </w:rPr>
          <w:delText>https://doi.org/10.1136/bmjopen-2020-043721</w:delText>
        </w:r>
        <w:r>
          <w:fldChar w:fldCharType="end"/>
        </w:r>
        <w:r>
          <w:rPr>
            <w:rFonts w:eastAsia="Times New Roman"/>
          </w:rPr>
          <w:delText xml:space="preserve"> </w:delText>
        </w:r>
      </w:del>
    </w:p>
    <w:p w14:paraId="28555049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53" w:author="Comparison" w:date="2026-09-22T12:58:00Z" w16du:dateUtc="2026-09-22T16:58:00Z"/>
          <w:rFonts w:eastAsia="Times New Roman"/>
        </w:rPr>
      </w:pPr>
      <w:del w:id="54" w:author="Comparison" w:date="2026-09-22T12:58:00Z" w16du:dateUtc="2026-09-22T16:58:00Z">
        <w:r>
          <w:rPr>
            <w:rFonts w:eastAsia="Times New Roman"/>
          </w:rPr>
          <w:delText xml:space="preserve">Predictive accuracy of enhanced versions of the on-admission National Early Warning Score in estimating the risk of COVID-19 for unplanned admission to hospital, D Richardson et al, </w:delText>
        </w:r>
        <w:r>
          <w:rPr>
            <w:rFonts w:eastAsia="Times New Roman"/>
            <w:i/>
            <w:iCs/>
          </w:rPr>
          <w:delText>BMC Health Serv Res</w:delText>
        </w:r>
        <w:r>
          <w:rPr>
            <w:rFonts w:eastAsia="Times New Roman"/>
          </w:rPr>
          <w:delText xml:space="preserve"> (2021);</w:delText>
        </w:r>
      </w:del>
    </w:p>
    <w:p w14:paraId="6BF5B7AA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55" w:author="Comparison" w:date="2026-09-22T12:58:00Z" w16du:dateUtc="2026-09-22T16:58:00Z"/>
          <w:rFonts w:eastAsia="Times New Roman"/>
        </w:rPr>
      </w:pPr>
      <w:del w:id="56" w:author="Comparison" w:date="2026-09-22T12:58:00Z" w16du:dateUtc="2026-09-22T16:58:00Z">
        <w:r>
          <w:fldChar w:fldCharType="begin"/>
        </w:r>
        <w:r>
          <w:delInstrText>HYPERLINK "https://gbr01.safelinks.protection.outlook.com/?url=https%3A%2F%2Fdoi.org%2F10.1186%2Fs12913-021-06951-x&amp;data=05%7C01%7Cmia.porteous2%40nhs.net%7C69f42d2a9f9a4462541508dbb4598575%7C37c354b285b047f5b22207b48d774ee3%7C0%7C0%7C638302068799484496%7CUnknown%7CTWFpbGZsb3d8eyJWIjoiMC4wLjAwMDAiLCJQIjoiV2luMzIiLCJBTiI6Ik1haWwiLCJXVCI6Mn0%3D%7C3000%7C%7C%7C&amp;sdata=B%2FnOCSUvRKAXK8pQ6Q7hwRfl349K9%2B8GKeBCQnlKHoc%3D&amp;reserved=0"</w:delInstrText>
        </w:r>
        <w:r>
          <w:fldChar w:fldCharType="separate"/>
        </w:r>
        <w:r>
          <w:rPr>
            <w:rStyle w:val="Hyperlink"/>
            <w:rFonts w:eastAsia="Times New Roman"/>
          </w:rPr>
          <w:delText>https://doi.org/10.1186/s12913-021-06951-x</w:delText>
        </w:r>
        <w:r>
          <w:fldChar w:fldCharType="end"/>
        </w:r>
        <w:r>
          <w:rPr>
            <w:rFonts w:eastAsia="Times New Roman"/>
          </w:rPr>
          <w:delText xml:space="preserve"> </w:delText>
        </w:r>
      </w:del>
    </w:p>
    <w:p w14:paraId="4C93E8F9" w14:textId="3DB29A6B" w:rsidR="004341B2" w:rsidRDefault="004341B2" w:rsidP="004341B2">
      <w:pPr>
        <w:rPr>
          <w:del w:id="57" w:author="Comparison" w:date="2026-09-22T12:58:00Z" w16du:dateUtc="2026-09-22T16:58:00Z"/>
        </w:rPr>
      </w:pPr>
    </w:p>
    <w:p w14:paraId="07DAE293" w14:textId="7332E3DC" w:rsidR="004341B2" w:rsidRDefault="004341B2" w:rsidP="004341B2">
      <w:pPr>
        <w:rPr>
          <w:del w:id="58" w:author="Comparison" w:date="2026-09-22T12:58:00Z" w16du:dateUtc="2026-09-22T16:58:00Z"/>
        </w:rPr>
      </w:pPr>
    </w:p>
    <w:p w14:paraId="025C738D" w14:textId="77777777" w:rsidR="004341B2" w:rsidRDefault="004341B2" w:rsidP="004341B2">
      <w:pPr>
        <w:rPr>
          <w:del w:id="59" w:author="Comparison" w:date="2026-09-22T12:58:00Z" w16du:dateUtc="2026-09-22T16:58:00Z"/>
        </w:rPr>
      </w:pPr>
    </w:p>
    <w:p w14:paraId="615D67CE" w14:textId="77777777" w:rsidR="004341B2" w:rsidRDefault="004341B2" w:rsidP="004341B2">
      <w:pPr>
        <w:pStyle w:val="ListParagraph"/>
        <w:numPr>
          <w:ilvl w:val="0"/>
          <w:numId w:val="1"/>
        </w:numPr>
        <w:rPr>
          <w:del w:id="60" w:author="Comparison" w:date="2026-09-22T12:58:00Z" w16du:dateUtc="2026-09-22T16:58:00Z"/>
          <w:rFonts w:eastAsia="Times New Roman"/>
          <w:b/>
          <w:bCs/>
        </w:rPr>
      </w:pPr>
      <w:del w:id="61" w:author="Comparison" w:date="2026-09-22T12:58:00Z" w16du:dateUtc="2026-09-22T16:58:00Z">
        <w:r>
          <w:rPr>
            <w:rFonts w:eastAsia="Times New Roman"/>
            <w:b/>
            <w:bCs/>
          </w:rPr>
          <w:delText>Sepsis/Covid sub-study</w:delText>
        </w:r>
      </w:del>
    </w:p>
    <w:p w14:paraId="57643163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62" w:author="Comparison" w:date="2026-09-22T12:58:00Z" w16du:dateUtc="2026-09-22T16:58:00Z"/>
          <w:rFonts w:eastAsia="Times New Roman"/>
        </w:rPr>
      </w:pPr>
      <w:del w:id="63" w:author="Comparison" w:date="2026-09-22T12:58:00Z" w16du:dateUtc="2026-09-22T16:58:00Z">
        <w:r>
          <w:rPr>
            <w:rFonts w:eastAsia="Times New Roman"/>
          </w:rPr>
          <w:delText xml:space="preserve">Integrated miRNA/cytokine/chemokine profiling reveals severity-associated step changes and principal correlates of fatality in Covid-19, D Lagos et al, </w:delText>
        </w:r>
        <w:r>
          <w:rPr>
            <w:rFonts w:eastAsia="Times New Roman"/>
            <w:i/>
            <w:iCs/>
          </w:rPr>
          <w:delText>iScience</w:delText>
        </w:r>
        <w:r>
          <w:rPr>
            <w:rFonts w:eastAsia="Times New Roman"/>
          </w:rPr>
          <w:delText xml:space="preserve"> (2022);</w:delText>
        </w:r>
      </w:del>
    </w:p>
    <w:p w14:paraId="39C77DDB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64" w:author="Comparison" w:date="2026-09-22T12:58:00Z" w16du:dateUtc="2026-09-22T16:58:00Z"/>
          <w:rFonts w:eastAsia="Times New Roman"/>
        </w:rPr>
      </w:pPr>
      <w:del w:id="65" w:author="Comparison" w:date="2026-09-22T12:58:00Z" w16du:dateUtc="2026-09-22T16:58:00Z">
        <w:r>
          <w:fldChar w:fldCharType="begin"/>
        </w:r>
        <w:r>
          <w:delInstrText>HYPERLINK "https://gbr01.safelinks.protection.outlook.com/?url=https%3A%2F%2Fdoi.org%2F10.1016%2Fj.isci.2021.103672&amp;data=05%7C01%7Cmia.porteous2%40nhs.net%7C69f42d2a9f9a4462541508dbb4598575%7C37c354b285b047f5b22207b48d774ee3%7C0%7C0%7C638302068799484496%7CUnknown%7CTWFpbGZsb3d8eyJWIjoiMC4wLjAwMDAiLCJQIjoiV2luMzIiLCJBTiI6Ik1haWwiLCJXVCI6Mn0%3D%7C3000%7C%7C%7C&amp;sdata=pOpMmWChUJgcQ5hLeh5YoGCEvM9w7v8lHy4%2FuaRBx%2Bw%3D&amp;reserved=0"</w:delInstrText>
        </w:r>
        <w:r>
          <w:fldChar w:fldCharType="separate"/>
        </w:r>
        <w:r>
          <w:rPr>
            <w:rStyle w:val="Hyperlink"/>
            <w:rFonts w:eastAsia="Times New Roman"/>
          </w:rPr>
          <w:delText>https://doi.org/10.1016/j.isci.2021.103672</w:delText>
        </w:r>
        <w:r>
          <w:fldChar w:fldCharType="end"/>
        </w:r>
      </w:del>
    </w:p>
    <w:p w14:paraId="3533FAB3" w14:textId="77777777" w:rsidR="004341B2" w:rsidRDefault="004341B2" w:rsidP="004341B2">
      <w:pPr>
        <w:pStyle w:val="ListParagraph"/>
        <w:ind w:left="1440"/>
        <w:rPr>
          <w:del w:id="66" w:author="Comparison" w:date="2026-09-22T12:58:00Z" w16du:dateUtc="2026-09-22T16:58:00Z"/>
        </w:rPr>
      </w:pPr>
    </w:p>
    <w:p w14:paraId="26256B16" w14:textId="77777777" w:rsidR="004341B2" w:rsidRDefault="004341B2" w:rsidP="004341B2">
      <w:pPr>
        <w:pStyle w:val="ListParagraph"/>
        <w:numPr>
          <w:ilvl w:val="0"/>
          <w:numId w:val="1"/>
        </w:numPr>
        <w:rPr>
          <w:del w:id="67" w:author="Comparison" w:date="2026-09-22T12:58:00Z" w16du:dateUtc="2026-09-22T16:58:00Z"/>
          <w:rFonts w:eastAsia="Times New Roman"/>
          <w:b/>
          <w:bCs/>
        </w:rPr>
      </w:pPr>
      <w:del w:id="68" w:author="Comparison" w:date="2026-09-22T12:58:00Z" w16du:dateUtc="2026-09-22T16:58:00Z">
        <w:r>
          <w:rPr>
            <w:rFonts w:eastAsia="Times New Roman"/>
            <w:b/>
            <w:bCs/>
          </w:rPr>
          <w:delText>Minicog</w:delText>
        </w:r>
      </w:del>
    </w:p>
    <w:p w14:paraId="0489FE77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69" w:author="Comparison" w:date="2026-09-22T12:58:00Z" w16du:dateUtc="2026-09-22T16:58:00Z"/>
          <w:rFonts w:eastAsia="Times New Roman"/>
        </w:rPr>
      </w:pPr>
      <w:del w:id="70" w:author="Comparison" w:date="2026-09-22T12:58:00Z" w16du:dateUtc="2026-09-22T16:58:00Z">
        <w:r>
          <w:rPr>
            <w:rFonts w:eastAsia="Times New Roman"/>
          </w:rPr>
          <w:delText xml:space="preserve">The association between preoperative Mini-Cog© score and postoperative delirium (POD): a retrospective cohort study, D Yates et al, </w:delText>
        </w:r>
        <w:r>
          <w:rPr>
            <w:rFonts w:eastAsia="Times New Roman"/>
            <w:i/>
            <w:iCs/>
          </w:rPr>
          <w:delText>Perioperative Medicine</w:delText>
        </w:r>
        <w:r>
          <w:rPr>
            <w:rFonts w:eastAsia="Times New Roman"/>
          </w:rPr>
          <w:delText xml:space="preserve"> (2022);</w:delText>
        </w:r>
      </w:del>
    </w:p>
    <w:p w14:paraId="3CF3DC0B" w14:textId="77777777" w:rsidR="004341B2" w:rsidRPr="00D668FB" w:rsidRDefault="004341B2" w:rsidP="004341B2">
      <w:pPr>
        <w:pStyle w:val="ListParagraph"/>
        <w:numPr>
          <w:ilvl w:val="1"/>
          <w:numId w:val="1"/>
        </w:numPr>
        <w:rPr>
          <w:del w:id="71" w:author="Comparison" w:date="2026-09-22T12:58:00Z" w16du:dateUtc="2026-09-22T16:58:00Z"/>
          <w:rFonts w:eastAsia="Times New Roman"/>
        </w:rPr>
      </w:pPr>
      <w:del w:id="72" w:author="Comparison" w:date="2026-09-22T12:58:00Z" w16du:dateUtc="2026-09-22T16:58:00Z">
        <w:r>
          <w:fldChar w:fldCharType="begin"/>
        </w:r>
        <w:r>
          <w:delInstrText>HYPERLINK "https://gbr01.safelinks.protection.outlook.com/?url=https%3A%2F%2Fdoi.org%2F10.1186%2Fs13741-022-00249-0&amp;data=05%7C01%7Cmia.porteous2%40nhs.net%7C69f42d2a9f9a4462541508dbb4598575%7C37c354b285b047f5b22207b48d774ee3%7C0%7C0%7C638302068799484496%7CUnknown%7CTWFpbGZsb3d8eyJWIjoiMC4wLjAwMDAiLCJQIjoiV2luMzIiLCJBTiI6Ik1haWwiLCJXVCI6Mn0%3D%7C3000%7C%7C%7C&amp;sdata=JE9Sk6RZz3xqhxy0NcyEtxPWL736YI32OWCVE%2FWxZJM%3D&amp;reserved=0"</w:delInstrText>
        </w:r>
        <w:r>
          <w:fldChar w:fldCharType="separate"/>
        </w:r>
        <w:r w:rsidRPr="00D668FB">
          <w:rPr>
            <w:rStyle w:val="Hyperlink"/>
            <w:rFonts w:eastAsia="Times New Roman"/>
          </w:rPr>
          <w:delText>https://doi.org/10.1186/s13741-022-00249-0</w:delText>
        </w:r>
        <w:r>
          <w:fldChar w:fldCharType="end"/>
        </w:r>
        <w:r w:rsidRPr="00D668FB">
          <w:rPr>
            <w:rFonts w:eastAsia="Times New Roman"/>
          </w:rPr>
          <w:delText xml:space="preserve"> </w:delText>
        </w:r>
      </w:del>
    </w:p>
    <w:p w14:paraId="724D7067" w14:textId="77777777" w:rsidR="004341B2" w:rsidRDefault="004341B2" w:rsidP="004341B2">
      <w:pPr>
        <w:rPr>
          <w:del w:id="73" w:author="Comparison" w:date="2026-09-22T12:58:00Z" w16du:dateUtc="2026-09-22T16:58:00Z"/>
        </w:rPr>
      </w:pPr>
      <w:del w:id="74" w:author="Comparison" w:date="2026-09-22T12:58:00Z" w16du:dateUtc="2026-09-22T16:58:00Z">
        <w:r>
          <w:delText> </w:delText>
        </w:r>
      </w:del>
    </w:p>
    <w:p w14:paraId="1FDE1A87" w14:textId="77777777" w:rsidR="004341B2" w:rsidRDefault="004341B2" w:rsidP="004341B2">
      <w:pPr>
        <w:pStyle w:val="ListParagraph"/>
        <w:numPr>
          <w:ilvl w:val="0"/>
          <w:numId w:val="1"/>
        </w:numPr>
        <w:rPr>
          <w:del w:id="75" w:author="Comparison" w:date="2026-09-22T12:58:00Z" w16du:dateUtc="2026-09-22T16:58:00Z"/>
          <w:rFonts w:eastAsia="Times New Roman"/>
        </w:rPr>
      </w:pPr>
      <w:del w:id="76" w:author="Comparison" w:date="2026-09-22T12:58:00Z" w16du:dateUtc="2026-09-22T16:58:00Z">
        <w:r>
          <w:rPr>
            <w:rFonts w:eastAsia="Times New Roman"/>
            <w:b/>
            <w:bCs/>
          </w:rPr>
          <w:delText>Waterpik</w:delText>
        </w:r>
        <w:r>
          <w:rPr>
            <w:rFonts w:eastAsia="Times New Roman"/>
          </w:rPr>
          <w:delText xml:space="preserve"> </w:delText>
        </w:r>
      </w:del>
    </w:p>
    <w:p w14:paraId="26AC714E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77" w:author="Comparison" w:date="2026-09-22T12:58:00Z" w16du:dateUtc="2026-09-22T16:58:00Z"/>
          <w:rFonts w:eastAsia="Times New Roman"/>
        </w:rPr>
      </w:pPr>
      <w:del w:id="78" w:author="Comparison" w:date="2026-09-22T12:58:00Z" w16du:dateUtc="2026-09-22T16:58:00Z">
        <w:r>
          <w:rPr>
            <w:rFonts w:eastAsia="Times New Roman"/>
          </w:rPr>
          <w:delText xml:space="preserve">Effectiveness of Waterpik® for oral hygiene maintenance in orthodontic fixed appliance patients, D Tyler et al, </w:delText>
        </w:r>
        <w:r>
          <w:rPr>
            <w:rFonts w:eastAsia="Times New Roman"/>
            <w:i/>
            <w:iCs/>
          </w:rPr>
          <w:delText>Journal of Orthodontics</w:delText>
        </w:r>
        <w:r>
          <w:rPr>
            <w:rFonts w:eastAsia="Times New Roman"/>
          </w:rPr>
          <w:delText xml:space="preserve"> (2023);</w:delText>
        </w:r>
      </w:del>
    </w:p>
    <w:p w14:paraId="40838305" w14:textId="609F3FEF" w:rsidR="004341B2" w:rsidRDefault="004341B2" w:rsidP="004341B2">
      <w:pPr>
        <w:pStyle w:val="ListParagraph"/>
        <w:numPr>
          <w:ilvl w:val="1"/>
          <w:numId w:val="1"/>
        </w:numPr>
        <w:rPr>
          <w:del w:id="79" w:author="Comparison" w:date="2026-09-22T12:58:00Z" w16du:dateUtc="2026-09-22T16:58:00Z"/>
          <w:rFonts w:eastAsia="Times New Roman"/>
        </w:rPr>
      </w:pPr>
      <w:del w:id="80" w:author="Comparison" w:date="2026-09-22T12:58:00Z" w16du:dateUtc="2026-09-22T16:58:00Z">
        <w:r>
          <w:fldChar w:fldCharType="begin"/>
        </w:r>
        <w:r>
          <w:delInstrText>HYPERLINK "https://gbr01.safelinks.protection.outlook.com/?url=https%3A%2F%2Fdoi.org%2F10.1177%2F14653125231173708&amp;data=05%7C01%7Cmia.porteous2%40nhs.net%7C69f42d2a9f9a4462541508dbb4598575%7C37c354b285b047f5b22207b48d774ee3%7C0%7C0%7C638302068799484496%7CUnknown%7CTWFpbGZsb3d8eyJWIjoiMC4wLjAwMDAiLCJQIjoiV2luMzIiLCJBTiI6Ik1haWwiLCJXVCI6Mn0%3D%7C3000%7C%7C%7C&amp;sdata=9z60EdIVvuFIMHodGf5Uigu4VpHDcj7zNtqnLTPxnrE%3D&amp;reserved=0"</w:delInstrText>
        </w:r>
        <w:r>
          <w:fldChar w:fldCharType="separate"/>
        </w:r>
        <w:r>
          <w:rPr>
            <w:rStyle w:val="Hyperlink"/>
            <w:rFonts w:eastAsia="Times New Roman"/>
          </w:rPr>
          <w:delText>https://doi.org/10.1177/14653125231173708</w:delText>
        </w:r>
        <w:r>
          <w:fldChar w:fldCharType="end"/>
        </w:r>
        <w:r>
          <w:rPr>
            <w:rFonts w:eastAsia="Times New Roman"/>
          </w:rPr>
          <w:delText xml:space="preserve"> </w:delText>
        </w:r>
      </w:del>
    </w:p>
    <w:p w14:paraId="5864ABA2" w14:textId="291950B3" w:rsidR="00D668FB" w:rsidRDefault="00D668FB" w:rsidP="00D668FB">
      <w:pPr>
        <w:pStyle w:val="ListParagraph"/>
        <w:ind w:left="1440"/>
        <w:rPr>
          <w:del w:id="81" w:author="Comparison" w:date="2026-09-22T12:58:00Z" w16du:dateUtc="2026-09-22T16:58:00Z"/>
          <w:rFonts w:eastAsia="Times New Roman"/>
        </w:rPr>
      </w:pPr>
    </w:p>
    <w:p w14:paraId="4B39BD9E" w14:textId="33F09026" w:rsidR="00D668FB" w:rsidRDefault="00D668FB" w:rsidP="00D668FB">
      <w:pPr>
        <w:pStyle w:val="ListParagraph"/>
        <w:numPr>
          <w:ilvl w:val="0"/>
          <w:numId w:val="5"/>
        </w:numPr>
        <w:rPr>
          <w:del w:id="82" w:author="Comparison" w:date="2026-09-22T12:58:00Z" w16du:dateUtc="2026-09-22T16:58:00Z"/>
          <w:rFonts w:eastAsia="Times New Roman"/>
          <w:b/>
          <w:bCs/>
        </w:rPr>
      </w:pPr>
      <w:del w:id="83" w:author="Comparison" w:date="2026-09-22T12:58:00Z" w16du:dateUtc="2026-09-22T16:58:00Z">
        <w:r w:rsidRPr="00D668FB">
          <w:rPr>
            <w:rFonts w:eastAsia="Times New Roman"/>
            <w:b/>
            <w:bCs/>
          </w:rPr>
          <w:delText xml:space="preserve">The Fast Track Fit Study </w:delText>
        </w:r>
      </w:del>
    </w:p>
    <w:p w14:paraId="2ED6C8FD" w14:textId="1B067984" w:rsidR="00D668FB" w:rsidRDefault="00D668FB" w:rsidP="00D668FB">
      <w:pPr>
        <w:pStyle w:val="ListParagraph"/>
        <w:numPr>
          <w:ilvl w:val="0"/>
          <w:numId w:val="6"/>
        </w:numPr>
        <w:rPr>
          <w:del w:id="84" w:author="Comparison" w:date="2026-09-22T12:58:00Z" w16du:dateUtc="2026-09-22T16:58:00Z"/>
          <w:rFonts w:eastAsia="Times New Roman"/>
        </w:rPr>
      </w:pPr>
      <w:del w:id="85" w:author="Comparison" w:date="2026-09-22T12:58:00Z" w16du:dateUtc="2026-09-22T16:58:00Z">
        <w:r w:rsidRPr="00D668FB">
          <w:rPr>
            <w:rFonts w:eastAsia="Times New Roman"/>
          </w:rPr>
          <w:delText>Diagnostic accuracy of faecal immunochemical test for haemoglobin in patients with suspected colorectal cancer</w:delText>
        </w:r>
      </w:del>
    </w:p>
    <w:p w14:paraId="6270834F" w14:textId="00604738" w:rsidR="00D668FB" w:rsidRPr="00D668FB" w:rsidRDefault="00D668FB" w:rsidP="00D668FB">
      <w:pPr>
        <w:pStyle w:val="ListParagraph"/>
        <w:numPr>
          <w:ilvl w:val="0"/>
          <w:numId w:val="6"/>
        </w:numPr>
        <w:rPr>
          <w:del w:id="86" w:author="Comparison" w:date="2026-09-22T12:58:00Z" w16du:dateUtc="2026-09-22T16:58:00Z"/>
        </w:rPr>
      </w:pPr>
      <w:del w:id="87" w:author="Comparison" w:date="2026-09-22T12:58:00Z" w16du:dateUtc="2026-09-22T16:58:00Z">
        <w:r>
          <w:fldChar w:fldCharType="begin"/>
        </w:r>
        <w:r>
          <w:delInstrText>HYPERLINK "https://gbr01.safelinks.protection.outlook.com/?url=https%3A%2F%2Fbjgp.org%2Fcontent%2F71%2F709%2Fe643&amp;data=05%7C01%7Cmia.porteous2%40nhs.net%7C21da277dd1d94895255608dbb46001bc%7C37c354b285b047f5b22207b48d774ee3%7C0%7C0%7C638302096650928689%7CUnknown%7CTWFpbGZsb3d8eyJWIjoiMC4wLjAwMDAiLCJQIjoiV2luMzIiLCJBTiI6Ik1haWwiLCJXVCI6Mn0%3D%7C3000%7C%7C%7C&amp;sdata=v04mX4tmkAksK4l92I7P6PQC4OuSf%2FmbHE9gUcDN3zI%3D&amp;reserved=0"</w:delInstrText>
        </w:r>
        <w:r>
          <w:fldChar w:fldCharType="separate"/>
        </w:r>
        <w:r>
          <w:rPr>
            <w:rStyle w:val="Hyperlink"/>
          </w:rPr>
          <w:delText>https://bjgp.org/content/71/709/e643</w:delText>
        </w:r>
        <w:r>
          <w:fldChar w:fldCharType="end"/>
        </w:r>
      </w:del>
    </w:p>
    <w:p w14:paraId="10462DD0" w14:textId="77777777" w:rsidR="004341B2" w:rsidRDefault="004341B2" w:rsidP="004341B2">
      <w:pPr>
        <w:pStyle w:val="ListParagraph"/>
        <w:ind w:left="1440"/>
        <w:rPr>
          <w:del w:id="88" w:author="Comparison" w:date="2026-09-22T12:58:00Z" w16du:dateUtc="2026-09-22T16:58:00Z"/>
        </w:rPr>
      </w:pPr>
    </w:p>
    <w:p w14:paraId="6F58339D" w14:textId="77777777" w:rsidR="004341B2" w:rsidRDefault="004341B2" w:rsidP="004341B2">
      <w:pPr>
        <w:pStyle w:val="ListParagraph"/>
        <w:numPr>
          <w:ilvl w:val="0"/>
          <w:numId w:val="1"/>
        </w:numPr>
        <w:rPr>
          <w:del w:id="89" w:author="Comparison" w:date="2026-09-22T12:58:00Z" w16du:dateUtc="2026-09-22T16:58:00Z"/>
          <w:rFonts w:eastAsia="Times New Roman"/>
          <w:b/>
          <w:bCs/>
        </w:rPr>
      </w:pPr>
      <w:del w:id="90" w:author="Comparison" w:date="2026-09-22T12:58:00Z" w16du:dateUtc="2026-09-22T16:58:00Z">
        <w:r>
          <w:rPr>
            <w:rFonts w:eastAsia="Times New Roman"/>
            <w:b/>
            <w:bCs/>
          </w:rPr>
          <w:delText xml:space="preserve">IR Thermometer </w:delText>
        </w:r>
      </w:del>
    </w:p>
    <w:p w14:paraId="25C110F0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91" w:author="Comparison" w:date="2026-09-22T12:58:00Z" w16du:dateUtc="2026-09-22T16:58:00Z"/>
          <w:rFonts w:eastAsia="Times New Roman"/>
        </w:rPr>
      </w:pPr>
      <w:del w:id="92" w:author="Comparison" w:date="2026-09-22T12:58:00Z" w16du:dateUtc="2026-09-22T16:58:00Z">
        <w:r>
          <w:rPr>
            <w:rFonts w:eastAsia="Times New Roman"/>
          </w:rPr>
          <w:delText xml:space="preserve">Clinical accuracy of infrared temperature measurement devices: a comparison against non-invasive core-body temperature, T Holder et al, </w:delText>
        </w:r>
        <w:r>
          <w:rPr>
            <w:rFonts w:eastAsia="Times New Roman"/>
            <w:i/>
            <w:iCs/>
          </w:rPr>
          <w:delText>Clinical Medicine Journal</w:delText>
        </w:r>
        <w:r>
          <w:rPr>
            <w:rFonts w:eastAsia="Times New Roman"/>
          </w:rPr>
          <w:delText xml:space="preserve"> (2023);</w:delText>
        </w:r>
      </w:del>
    </w:p>
    <w:p w14:paraId="7AB3873F" w14:textId="568188E9" w:rsidR="004341B2" w:rsidRDefault="004341B2" w:rsidP="004341B2">
      <w:pPr>
        <w:pStyle w:val="ListParagraph"/>
        <w:numPr>
          <w:ilvl w:val="1"/>
          <w:numId w:val="1"/>
        </w:numPr>
        <w:rPr>
          <w:del w:id="93" w:author="Comparison" w:date="2026-09-22T12:58:00Z" w16du:dateUtc="2026-09-22T16:58:00Z"/>
          <w:rFonts w:eastAsia="Times New Roman"/>
        </w:rPr>
      </w:pPr>
      <w:del w:id="94" w:author="Comparison" w:date="2026-09-22T12:58:00Z" w16du:dateUtc="2026-09-22T16:58:00Z">
        <w:r>
          <w:fldChar w:fldCharType="begin"/>
        </w:r>
        <w:r>
          <w:delInstrText>HYPERLINK "https://gbr01.safelinks.protection.outlook.com/?url=https%3A%2F%2Fdoi.org%2F10.7861%2Fclinmed.2022-0252&amp;data=05%7C01%7Cmia.porteous2%40nhs.net%7C69f42d2a9f9a4462541508dbb4598575%7C37c354b285b047f5b22207b48d774ee3%7C0%7C0%7C638302068799484496%7CUnknown%7CTWFpbGZsb3d8eyJWIjoiMC4wLjAwMDAiLCJQIjoiV2luMzIiLCJBTiI6Ik1haWwiLCJXVCI6Mn0%3D%7C3000%7C%7C%7C&amp;sdata=5W4GiNMRbEKkoFun2AA6M9stQPxM8NxaqvmcHshi3gM%3D&amp;reserved=0"</w:delInstrText>
        </w:r>
        <w:r>
          <w:fldChar w:fldCharType="separate"/>
        </w:r>
        <w:r>
          <w:rPr>
            <w:rStyle w:val="Hyperlink"/>
            <w:rFonts w:eastAsia="Times New Roman"/>
          </w:rPr>
          <w:delText>https://doi.org/10.7861/clinmed.2022-0252</w:delText>
        </w:r>
        <w:r>
          <w:fldChar w:fldCharType="end"/>
        </w:r>
        <w:r>
          <w:rPr>
            <w:rFonts w:eastAsia="Times New Roman"/>
          </w:rPr>
          <w:delText xml:space="preserve"> </w:delText>
        </w:r>
      </w:del>
    </w:p>
    <w:p w14:paraId="16209D29" w14:textId="2A846382" w:rsidR="00D668FB" w:rsidRPr="00D668FB" w:rsidRDefault="00D668FB" w:rsidP="00D668FB">
      <w:pPr>
        <w:ind w:left="1080"/>
        <w:rPr>
          <w:del w:id="95" w:author="Comparison" w:date="2026-09-22T12:58:00Z" w16du:dateUtc="2026-09-22T16:58:00Z"/>
          <w:rFonts w:eastAsia="Times New Roman"/>
        </w:rPr>
      </w:pPr>
    </w:p>
    <w:p w14:paraId="50DB45B5" w14:textId="77777777" w:rsidR="005C5783" w:rsidRDefault="005C5783"/>
    <w:sectPr w:rsidR="005C5783">
      <w:headerReference w:type="default" r:id="rId7"/>
      <w:footerReference w:type="default" r:id="rId8"/>
      <w:pgSz w:w="11905" w:h="16837"/>
      <w:pgMar w:top="1440" w:right="1440" w:bottom="1440" w:left="1440" w:header="720" w:footer="720" w:gutter="0"/>
      <w:cols w:space="720"/>
      <w:docGrid w:linePitch="0"/>
      <w:sectPrChange w:id="108" w:author="Comparison" w:date="2026-09-22T12:58:00Z" w16du:dateUtc="2026-09-22T16:58:00Z">
        <w:sectPr w:rsidR="005C5783">
          <w:pgSz w:w="12240" w:h="15840"/>
          <w:pgMar w:top="1440" w:right="1800" w:bottom="1440" w:left="1800" w:header="708" w:footer="708" w:gutter="0"/>
          <w:cols w:space="708"/>
          <w:docGrid w:linePitch="36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370DC1B" w14:textId="77777777" w:rsidR="009E7D7E" w:rsidRDefault="009E7D7E">
      <w:pPr>
        <w:spacing w:after="0" w:line="240" w:lineRule="auto"/>
        <w:pPrChange w:id="3" w:author="Comparison" w:date="2026-09-22T12:58:00Z" w16du:dateUtc="2026-09-22T16:58:00Z">
          <w:pPr/>
        </w:pPrChange>
      </w:pPr>
      <w:r>
        <w:separator/>
      </w:r>
    </w:p>
  </w:endnote>
  <w:endnote w:type="continuationSeparator" w:id="0">
    <w:p w14:paraId="38532CE3" w14:textId="77777777" w:rsidR="009E7D7E" w:rsidRDefault="009E7D7E">
      <w:pPr>
        <w:spacing w:after="0" w:line="240" w:lineRule="auto"/>
        <w:pPrChange w:id="4" w:author="Comparison" w:date="2026-09-22T12:58:00Z" w16du:dateUtc="2026-09-22T16:58:00Z">
          <w:pPr/>
        </w:pPrChange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42CC7A1" w14:textId="716456FC" w:rsidR="004341B2" w:rsidRDefault="004341B2">
    <w:pPr>
      <w:pStyle w:val="ListParagraph"/>
      <w:pPrChange w:id="106" w:author="Comparison" w:date="2026-09-22T12:58:00Z" w16du:dateUtc="2026-09-22T16:58:00Z">
        <w:pPr>
          <w:pStyle w:val="Footer"/>
        </w:pPr>
      </w:pPrChange>
    </w:pPr>
    <w:del w:id="107" w:author="Comparison" w:date="2026-09-22T12:58:00Z" w16du:dateUtc="2026-09-22T16:58:00Z">
      <w:r>
        <w:rPr>
          <w:noProof/>
        </w:rPr>
        <w:drawing>
          <wp:inline distT="0" distB="0" distL="0" distR="0" wp14:anchorId="3169FC6E" wp14:editId="4A05DD9B">
            <wp:extent cx="5391150" cy="742950"/>
            <wp:effectExtent l="0" t="0" r="0" b="0"/>
            <wp:docPr id="2" name="Picture 1" descr="York-NHS-email-footer-values-blu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 descr="York-NHS-email-footer-values-blue"/>
                    <pic:cNvPicPr>
                      <a:picLocks noChangeAspect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74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del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628BE11" w14:textId="77777777" w:rsidR="009E7D7E" w:rsidRDefault="009E7D7E">
      <w:pPr>
        <w:spacing w:after="0" w:line="240" w:lineRule="auto"/>
        <w:pPrChange w:id="1" w:author="Comparison" w:date="2026-09-22T12:58:00Z" w16du:dateUtc="2026-09-22T16:58:00Z">
          <w:pPr/>
        </w:pPrChange>
      </w:pPr>
      <w:r>
        <w:separator/>
      </w:r>
    </w:p>
  </w:footnote>
  <w:footnote w:type="continuationSeparator" w:id="0">
    <w:p w14:paraId="7FF96194" w14:textId="77777777" w:rsidR="009E7D7E" w:rsidRDefault="009E7D7E">
      <w:pPr>
        <w:spacing w:after="0" w:line="240" w:lineRule="auto"/>
        <w:pPrChange w:id="2" w:author="Comparison" w:date="2026-09-22T12:58:00Z" w16du:dateUtc="2026-09-22T16:58:00Z">
          <w:pPr/>
        </w:pPrChange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0" w:type="auto"/>
      <w:tblInd w:w="10" w:type="dxa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4056"/>
      <w:gridCol w:w="903"/>
      <w:gridCol w:w="4056"/>
    </w:tblGrid>
    <w:tr w:rsidR="006B298F" w14:paraId="4DC3468F" w14:textId="77777777">
      <w:tblPrEx>
        <w:tblCellMar>
          <w:top w:w="0" w:type="dxa"/>
          <w:bottom w:w="0" w:type="dxa"/>
        </w:tblCellMar>
      </w:tblPrEx>
      <w:trPr>
        <w:ins w:id="96" w:author="Comparison" w:date="2026-09-22T12:58:00Z" w16du:dateUtc="2026-09-22T16:58:00Z"/>
      </w:trPr>
      <w:tc>
        <w:tcPr>
          <w:tcW w:w="4500" w:type="dxa"/>
          <w:tcBorders>
            <w:bottom w:val="single" w:sz="1" w:space="0" w:color="000000"/>
          </w:tcBorders>
          <w:noWrap/>
        </w:tcPr>
        <w:p w14:paraId="2E51BDA4" w14:textId="77777777" w:rsidR="006B298F" w:rsidRDefault="009E7D7E">
          <w:pPr>
            <w:rPr>
              <w:ins w:id="97" w:author="Comparison" w:date="2026-09-22T12:58:00Z" w16du:dateUtc="2026-09-22T16:58:00Z"/>
            </w:rPr>
          </w:pPr>
          <w:ins w:id="98" w:author="Comparison" w:date="2026-09-22T12:58:00Z" w16du:dateUtc="2026-09-22T16:58:00Z">
            <w:r>
              <w:rPr>
                <w:color w:val="000000"/>
                <w:sz w:val="24"/>
                <w:szCs w:val="24"/>
              </w:rPr>
              <w:t>D+H</w:t>
            </w:r>
            <w:r>
              <w:rPr>
                <w:color w:val="000000"/>
              </w:rPr>
              <w:t xml:space="preserve"> | Kilde: www.dh-partner.com</w:t>
            </w:r>
          </w:ins>
        </w:p>
      </w:tc>
      <w:tc>
        <w:tcPr>
          <w:tcW w:w="1000" w:type="dxa"/>
          <w:tcBorders>
            <w:bottom w:val="single" w:sz="1" w:space="0" w:color="000000"/>
          </w:tcBorders>
          <w:noWrap/>
        </w:tcPr>
        <w:p w14:paraId="10E4FA8C" w14:textId="7BE53848" w:rsidR="006B298F" w:rsidRDefault="009E7D7E">
          <w:pPr>
            <w:jc w:val="center"/>
            <w:rPr>
              <w:ins w:id="99" w:author="Comparison" w:date="2026-09-22T12:58:00Z" w16du:dateUtc="2026-09-22T16:58:00Z"/>
            </w:rPr>
          </w:pPr>
          <w:ins w:id="100" w:author="Comparison" w:date="2026-09-22T12:58:00Z" w16du:dateUtc="2026-09-22T16:58:00Z">
            <w:r>
              <w:rPr>
                <w:color w:val="000000"/>
              </w:rPr>
              <w:t>-</w:t>
            </w:r>
            <w:r>
              <w:fldChar w:fldCharType="begin"/>
            </w:r>
            <w:r>
              <w:rPr>
                <w:color w:val="000000"/>
              </w:rPr>
              <w:instrText>PAGE</w:instrText>
            </w:r>
            <w:r>
              <w:fldChar w:fldCharType="separate"/>
            </w:r>
          </w:ins>
          <w:r w:rsidR="006B4DBA">
            <w:rPr>
              <w:noProof/>
              <w:color w:val="000000"/>
            </w:rPr>
            <w:t>1</w:t>
          </w:r>
          <w:ins w:id="101" w:author="Comparison" w:date="2026-09-22T12:58:00Z" w16du:dateUtc="2026-09-22T16:58:00Z">
            <w:r>
              <w:fldChar w:fldCharType="end"/>
            </w:r>
            <w:r>
              <w:rPr>
                <w:color w:val="000000"/>
              </w:rPr>
              <w:t>-</w:t>
            </w:r>
          </w:ins>
        </w:p>
      </w:tc>
      <w:tc>
        <w:tcPr>
          <w:tcW w:w="4500" w:type="dxa"/>
          <w:tcBorders>
            <w:bottom w:val="single" w:sz="1" w:space="0" w:color="000000"/>
          </w:tcBorders>
          <w:noWrap/>
        </w:tcPr>
        <w:p w14:paraId="3B6C88A7" w14:textId="77777777" w:rsidR="006B298F" w:rsidRDefault="009E7D7E">
          <w:pPr>
            <w:jc w:val="right"/>
            <w:rPr>
              <w:ins w:id="102" w:author="Comparison" w:date="2026-09-22T12:58:00Z" w16du:dateUtc="2026-09-22T16:58:00Z"/>
            </w:rPr>
          </w:pPr>
          <w:ins w:id="103" w:author="Comparison" w:date="2026-09-22T12:58:00Z" w16du:dateUtc="2026-09-22T16:58:00Z">
            <w:r>
              <w:rPr>
                <w:color w:val="000000"/>
              </w:rPr>
              <w:t>07.12.2025</w:t>
            </w:r>
          </w:ins>
        </w:p>
      </w:tc>
    </w:tr>
  </w:tbl>
  <w:p w14:paraId="03CEA859" w14:textId="28DD18A2" w:rsidR="004341B2" w:rsidRDefault="004341B2">
    <w:pPr>
      <w:pStyle w:val="Header"/>
      <w:rPr>
        <w:del w:id="104" w:author="Comparison" w:date="2026-09-22T12:58:00Z" w16du:dateUtc="2026-09-22T16:58:00Z"/>
      </w:rPr>
    </w:pPr>
    <w:del w:id="105" w:author="Comparison" w:date="2026-09-22T12:58:00Z" w16du:dateUtc="2026-09-22T16:58:00Z">
      <w:r>
        <w:rPr>
          <w:noProof/>
        </w:rPr>
        <w:drawing>
          <wp:anchor distT="0" distB="0" distL="114300" distR="114300" simplePos="0" relativeHeight="251659264" behindDoc="0" locked="0" layoutInCell="1" allowOverlap="1" wp14:anchorId="4506C150" wp14:editId="285B6DE6">
            <wp:simplePos x="0" y="0"/>
            <wp:positionH relativeFrom="margin">
              <wp:posOffset>4838700</wp:posOffset>
            </wp:positionH>
            <wp:positionV relativeFrom="margin">
              <wp:posOffset>-795655</wp:posOffset>
            </wp:positionV>
            <wp:extent cx="1625600" cy="895350"/>
            <wp:effectExtent l="0" t="0" r="0" b="0"/>
            <wp:wrapSquare wrapText="bothSides"/>
            <wp:docPr id="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5600" cy="895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del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85433D2"/>
    <w:multiLevelType w:val="hybridMultilevel"/>
    <w:tmpl w:val="978C39EE"/>
    <w:lvl w:ilvl="0" w:tplc="08090003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221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93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5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7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9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81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53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50" w:hanging="360"/>
      </w:pPr>
      <w:rPr>
        <w:rFonts w:ascii="Wingdings" w:hAnsi="Wingdings" w:hint="default"/>
      </w:rPr>
    </w:lvl>
  </w:abstractNum>
  <w:abstractNum w:abstractNumId="1" w15:restartNumberingAfterBreak="0">
    <w:nsid w:val="31C75361"/>
    <w:multiLevelType w:val="hybridMultilevel"/>
    <w:tmpl w:val="2A2E6C0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0FD75C9"/>
    <w:multiLevelType w:val="hybridMultilevel"/>
    <w:tmpl w:val="CC02DF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16F5FD4"/>
    <w:multiLevelType w:val="hybridMultilevel"/>
    <w:tmpl w:val="2C7AA3E4"/>
    <w:lvl w:ilvl="0" w:tplc="08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4" w15:restartNumberingAfterBreak="0">
    <w:nsid w:val="687B77C6"/>
    <w:multiLevelType w:val="hybridMultilevel"/>
    <w:tmpl w:val="70805244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323385383">
    <w:abstractNumId w:val="1"/>
  </w:num>
  <w:num w:numId="2" w16cid:durableId="1490753094">
    <w:abstractNumId w:val="1"/>
  </w:num>
  <w:num w:numId="3" w16cid:durableId="1680425763">
    <w:abstractNumId w:val="3"/>
  </w:num>
  <w:num w:numId="4" w16cid:durableId="1434934333">
    <w:abstractNumId w:val="4"/>
  </w:num>
  <w:num w:numId="5" w16cid:durableId="212272249">
    <w:abstractNumId w:val="2"/>
  </w:num>
  <w:num w:numId="6" w16cid:durableId="212653465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41B2"/>
    <w:rsid w:val="00116D35"/>
    <w:rsid w:val="004341B2"/>
    <w:rsid w:val="005C5783"/>
    <w:rsid w:val="006B298F"/>
    <w:rsid w:val="006B4DBA"/>
    <w:rsid w:val="00875E83"/>
    <w:rsid w:val="009E7D7E"/>
    <w:rsid w:val="00A405F7"/>
    <w:rsid w:val="00AA6828"/>
    <w:rsid w:val="00D668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0F2B84E"/>
  <w15:chartTrackingRefBased/>
  <w15:docId w15:val="{E7EC4326-6F22-4139-9135-63444C4795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160" w:line="278" w:lineRule="auto"/>
      <w:pPrChange w:id="0" w:author="Comparison" w:date="2026-09-22T12:58:00Z">
        <w:pPr/>
      </w:pPrChange>
    </w:pPr>
    <w:rPr>
      <w:rFonts w:ascii="Arial" w:eastAsia="Arial" w:hAnsi="Arial" w:cs="Arial"/>
      <w:lang w:val="en-US" w:eastAsia="en-US"/>
      <w:rPrChange w:id="0" w:author="Comparison" w:date="2026-09-22T12:58:00Z">
        <w:rPr>
          <w:rFonts w:ascii="Calibri" w:eastAsiaTheme="minorHAnsi" w:hAnsi="Calibri" w:cs="Calibri"/>
          <w:sz w:val="22"/>
          <w:szCs w:val="22"/>
          <w:lang w:val="en-GB" w:eastAsia="en-US" w:bidi="ar-SA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4341B2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4341B2"/>
    <w:pPr>
      <w:ind w:left="720"/>
    </w:pPr>
  </w:style>
  <w:style w:type="character" w:customStyle="1" w:styleId="identifier">
    <w:name w:val="identifier"/>
    <w:basedOn w:val="DefaultParagraphFont"/>
    <w:rsid w:val="004341B2"/>
  </w:style>
  <w:style w:type="character" w:customStyle="1" w:styleId="ej-journal-name">
    <w:name w:val="ej-journal-name"/>
    <w:basedOn w:val="DefaultParagraphFont"/>
    <w:rsid w:val="004341B2"/>
  </w:style>
  <w:style w:type="paragraph" w:styleId="Header">
    <w:name w:val="header"/>
    <w:basedOn w:val="Normal"/>
    <w:link w:val="HeaderChar"/>
    <w:unhideWhenUsed/>
    <w:rsid w:val="004341B2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rsid w:val="004341B2"/>
    <w:rPr>
      <w:rFonts w:ascii="Calibri" w:eastAsiaTheme="minorHAnsi" w:hAnsi="Calibri" w:cs="Calibri"/>
      <w:sz w:val="22"/>
      <w:szCs w:val="22"/>
      <w:lang w:eastAsia="en-US"/>
    </w:rPr>
  </w:style>
  <w:style w:type="paragraph" w:styleId="Footer">
    <w:name w:val="footer"/>
    <w:basedOn w:val="Normal"/>
    <w:link w:val="FooterChar"/>
    <w:unhideWhenUsed/>
    <w:rsid w:val="004341B2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rsid w:val="004341B2"/>
    <w:rPr>
      <w:rFonts w:ascii="Calibri" w:eastAsiaTheme="minorHAnsi" w:hAnsi="Calibri" w:cs="Calibri"/>
      <w:sz w:val="22"/>
      <w:szCs w:val="22"/>
      <w:lang w:eastAsia="en-US"/>
    </w:rPr>
  </w:style>
  <w:style w:type="character" w:styleId="FootnoteReference">
    <w:name w:val="footnote reference"/>
    <w:semiHidden/>
    <w:unhideWhenUsed/>
    <w:rsid w:val="006B4DBA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73802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14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2032</Words>
  <Characters>11588</Characters>
  <Application>Microsoft Office Word</Application>
  <DocSecurity>0</DocSecurity>
  <Lines>96</Lines>
  <Paragraphs>27</Paragraphs>
  <ScaleCrop>false</ScaleCrop>
  <Company>York Teaching Hospitals NHS Foundation Trust</Company>
  <LinksUpToDate>false</LinksUpToDate>
  <CharactersWithSpaces>13593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PORTEOUS, Mia (YORK AND SCARBOROUGH TEACHING HOSPITALS NHS FOUNDATION TRUST)</dc:creator>
  <cp:keywords/>
  <dc:description/>
  <cp:lastModifiedBy>Arthur Souza Rodrigues</cp:lastModifiedBy>
  <cp:revision>1</cp:revision>
  <dcterms:created xsi:type="dcterms:W3CDTF">2023-09-13T13:37:00Z</dcterms:created>
  <dcterms:modified xsi:type="dcterms:W3CDTF">2026-09-22T16:58:00Z</dcterms:modified>
</cp:coreProperties>
</file>