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p w14:paraId="319A0C71" w14:textId="77777777" w:rsidR="009A1490" w:rsidRDefault="00460ED2">
      <w:r>
        <w:br w:type="page"/>
      </w:r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r>
          <w:t>custom fields, content controls, macros/add-ins, protected documents, sensitivity labels, and richer desktop publishing features.</w:t>
        </w:r>
      </w:ins>
    </w:p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ins w:id="182" w:author="Arthur Souza Rodrigues" w:date="2026-07-03T18:57:00Z" w16du:dateUtc="2026-07-03T22:57:00Z"/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296"/>
      <w:commentRangeStart w:id="297"/>
      <w:r>
        <w:t>custom fields, content controls, macros/add-ins, protected documents, sensitivity labels, and richer desktop publishing features.</w:t>
      </w:r>
    </w:p>
    <w:commentRangeEnd w:id="296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296"/>
      </w:r>
      <w:commentRangeEnd w:id="297"/>
      <w:r w:rsidR="00460ED2">
        <w:rPr>
          <w:rStyle w:val="CommentReference"/>
          <w:sz w:val="28"/>
          <w:szCs w:val="28"/>
        </w:rPr>
        <w:commentReference w:id="297"/>
      </w:r>
      <w:r>
        <w:t>3. Capability matrix: Word has all the expected basics plus professional depth</w:t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296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97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