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AB17762">
      <w:pPr>
        <w:spacing w:line="276"/>
      </w:pPr>
      <w:r>
        <w:rPr>
          <w:b/>
          <w:bCs/>
          <w:u w:val="single"/>
        </w:rPr>
        <w:t>Bold Underline Combined Demo</w:t>
      </w:r>
    </w:p>
    <w:p w14:paraId="A5B7C50B">
      <w:r>
        <w:rPr>
          <w:b/>
          <w:bCs/>
          <w:u w:val="single"/>
        </w:rPr>
        <w:t>This document combines bold and underline formatting.</w:t>
      </w:r>
    </w:p>
    <w:p w14:paraId="922CF692">
      <w:r>
        <w:rPr>
          <w:b/>
          <w:bCs/>
          <w:u w:val="single"/>
        </w:rPr>
        <w:t>Bold underlined text is used for critical document headings.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2026-05-14T17:11:55.041Z</dcterms:created>
  <dcterms:modified xsi:type="dcterms:W3CDTF">2026-05-14T17:11:55.056Z</dcterms:modified>
</cp:coreProperties>
</file>