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18E7F4E3">
      <w:pPr>
        <w:spacing w:line="276"/>
      </w:pPr>
      <w:r>
        <w:t>Quarterly Performance Report</w:t>
      </w:r>
    </w:p>
    <w:p w14:paraId="A479DABF">
      <w:pPr>
        <w:spacing w:line="276"/>
      </w:pPr>
    </w:p>
    <w:p w14:paraId="12B0B6F1">
      <w:pPr>
        <w:spacing w:line="276"/>
      </w:pPr>
    </w:p>
    <w:tbl>
      <w:tblPr>
        <w:tblW w:w="93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0"/>
        <w:gridCol w:w="2340"/>
        <w:gridCol w:w="2340"/>
        <w:gridCol w:w="2340"/>
      </w:tblGrid>
      <w:tr>
        <w:trPr>
          <w:trHeight w:val="360" w:hRule="atLeast"/>
        </w:trPr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908CDFC4">
            <w:r>
              <w:t>Metric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6FEFEC5D">
            <w:r>
              <w:t>Q1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1ADF0A49">
            <w:r>
              <w:t>Q2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E16D0567">
            <w:r>
              <w:t>Q3</w:t>
            </w:r>
          </w:p>
        </w:tc>
      </w:tr>
      <w:tr>
        <w:trPr>
          <w:trHeight w:val="360" w:hRule="atLeast"/>
        </w:trPr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6728CB36">
            <w:r>
              <w:t>Revenue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D8B6679A">
            <w:r>
              <w:t>$1.2M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D347EBC3">
            <w:r>
              <w:t>$1.5M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F35CE819">
            <w:r>
              <w:t>$1.8M</w:t>
            </w:r>
          </w:p>
        </w:tc>
      </w:tr>
      <w:tr>
        <w:trPr>
          <w:trHeight w:val="360" w:hRule="atLeast"/>
        </w:trPr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A57F5533">
            <w:r>
              <w:t>NPS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B08882ED">
            <w:r>
              <w:t>65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83ABCB10">
            <w:r>
              <w:t>70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7CFC30A3">
            <w:r>
              <w:t>72</w:t>
            </w:r>
          </w:p>
        </w:tc>
      </w:tr>
    </w:tbl>
    <w:p w14:paraId="2E1565AA"/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2026-05-14T20:35:57.198Z</dcterms:created>
  <dcterms:modified xsi:type="dcterms:W3CDTF">2026-05-14T20:35:57.231Z</dcterms:modified>
</cp:coreProperties>
</file>