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commentRangeStart w:id="2"/>
      <w:r>
        <w:t>Ouch</w:t>
      </w:r>
      <w:commentRangeEnd w:id="2"/>
      <w:r>
        <w:rPr>
          <w:rStyle w:val="CommentReference"/>
          <w:sz w:val="22"/>
          <w:szCs w:val="20"/>
        </w:rPr>
        <w:commentReference w:id="2"/>
      </w:r>
      <w:r>
        <w:t>.</w:t>
      </w:r>
      <w:commentRangeStart w:id="8"/>
      <w:commentRangeEnd w:id="8"/>
      <w:r>
        <w:rPr>
          <w:rStyle w:val="CommentReference"/>
          <w:sz w:val="22"/>
          <w:szCs w:val="20"/>
        </w:rPr>
        <w:commentReference w:id="8"/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Michael Williamson" w:date="2016-07-03T15:10:00Z" w:initials="MW">
    <w:p w14:paraId="1355BCD6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8" w:author="Michael Williamson" w:date="2016-07-03T15:12:00Z" w:initials="MW">
    <w:p w14:paraId="5B3A1E8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