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FAOSTAT’s gross production value in current US dollars stops wherever its own US-dollar producer-price series stops, so a country-crop pair can carry production and no value (India’s rice in 2019 is one). At the base year those pairs take GPV from the values table the pollination module stages (</w:t>
      </w:r>
      <w:r>
        <w:rPr>
          <w:rStyle w:val="VerbatimChar"/>
        </w:rPr>
        <w:t xml:space="preserve">fao_values_1993_2024.csv</w:t>
      </w:r>
      <w:r>
        <w:t xml:space="preserve">): production tonnes times that year’s US-dollar producer price, the price falling back from the country’s own to the FAO subregion, region and world medians. No price arithmetic happens in this module. The same lambda then applies to filled and read pairs alike, and each filled row records which level priced it.</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2026-10-13T16:23:48Z</dcterms:created>
  <dcterms:modified xsi:type="dcterms:W3CDTF">2026-10-13T16:23:48Z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