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composite-page-65"/>
    <w:bookmarkStart w:id="33" w:name="problems"/>
    <w:p>
      <w:pPr>
        <w:pStyle w:val="Heading2"/>
      </w:pPr>
      <w:r>
        <w:t xml:space="preserve">Problems</w:t>
      </w:r>
    </w:p>
    <w:bookmarkStart w:id="24" w:name="fs-idp31086096"/>
    <w:bookmarkStart w:id="21" w:name="fs-idm82321472"/>
    <w:bookmarkStart w:id="20" w:name="fs-idm73904800"/>
    <w:p>
      <w:pPr>
        <w:pStyle w:val="FirstParagraph"/>
      </w:pPr>
      <w:r>
        <w:t xml:space="preserve">35</w:t>
      </w:r>
      <w:r>
        <w:t xml:space="preserve">.</w:t>
      </w:r>
      <w:r>
        <w:t xml:space="preserve"> </w:t>
      </w:r>
    </w:p>
    <w:p>
      <w:pPr>
        <w:pStyle w:val="TextBody"/>
      </w:pPr>
      <w:r>
        <w:t xml:space="preserve">Use</w:t>
      </w:r>
      <w:r>
        <w:t xml:space="preserve"> </w:t>
      </w:r>
      <w:hyperlink w:anchor="Table_11_03">
        <w:r>
          <w:rPr>
            <w:rStyle w:val="InternetLink"/>
          </w:rPr>
          <w:t xml:space="preserve">Table 11.5</w:t>
        </w:r>
      </w:hyperlink>
      <w:r>
        <w:t xml:space="preserve"> </w:t>
      </w:r>
      <w:r>
        <w:t xml:space="preserve">to calculate the four-firm concentration ratio for the U.S. auto market. Does this indicate a concentrated market or not?</w:t>
      </w:r>
    </w:p>
    <w:tbl>
      <w:tblPr>
        <w:tblStyle w:val="Table"/>
        <w:tblW w:type="pct" w:w="0.0"/>
        <w:tblLook w:firstRow="0" w:lastRow="0" w:firstColumn="0" w:lastColumn="0" w:noHBand="0" w:noVBand="0"/>
      </w:tblPr>
      <w:tblGrid/>
      <w:tr>
        <w:tc>
          <w:p>
            <w:pPr>
              <w:pStyle w:val="Compact"/>
              <w:jc w:val="left"/>
            </w:pPr>
            <w:r>
              <w:t xml:space="preserve">GM</w:t>
            </w:r>
          </w:p>
        </w:tc>
        <w:tc>
          <w:p>
            <w:pPr>
              <w:pStyle w:val="Compact"/>
              <w:jc w:val="left"/>
            </w:pPr>
            <w:r>
              <w:t xml:space="preserve">19%</w:t>
            </w:r>
          </w:p>
        </w:tc>
      </w:tr>
      <w:tr>
        <w:tc>
          <w:p>
            <w:pPr>
              <w:pStyle w:val="Compact"/>
              <w:jc w:val="left"/>
            </w:pPr>
            <w:r>
              <w:t xml:space="preserve">Ford</w:t>
            </w:r>
          </w:p>
        </w:tc>
        <w:tc>
          <w:p>
            <w:pPr>
              <w:pStyle w:val="Compact"/>
              <w:jc w:val="left"/>
            </w:pPr>
            <w:r>
              <w:t xml:space="preserve">17%</w:t>
            </w:r>
          </w:p>
        </w:tc>
      </w:tr>
      <w:tr>
        <w:tc>
          <w:p>
            <w:pPr>
              <w:pStyle w:val="Compact"/>
              <w:jc w:val="left"/>
            </w:pPr>
            <w:r>
              <w:t xml:space="preserve">Toyota</w:t>
            </w:r>
          </w:p>
        </w:tc>
        <w:tc>
          <w:p>
            <w:pPr>
              <w:pStyle w:val="Compact"/>
              <w:jc w:val="left"/>
            </w:pPr>
            <w:r>
              <w:t xml:space="preserve">14%</w:t>
            </w:r>
          </w:p>
        </w:tc>
      </w:tr>
      <w:tr>
        <w:tc>
          <w:p>
            <w:pPr>
              <w:pStyle w:val="Compact"/>
              <w:jc w:val="left"/>
            </w:pPr>
            <w:r>
              <w:t xml:space="preserve">Chrysler</w:t>
            </w:r>
          </w:p>
        </w:tc>
        <w:tc>
          <w:p>
            <w:pPr>
              <w:pStyle w:val="Compact"/>
              <w:jc w:val="left"/>
            </w:pPr>
            <w:r>
              <w:t xml:space="preserve">11%</w:t>
            </w:r>
          </w:p>
        </w:tc>
      </w:tr>
    </w:tbl>
    <w:p>
      <w:pPr>
        <w:pStyle w:val="TextBody"/>
      </w:pPr>
      <w:r>
        <w:t xml:space="preserve">Table</w:t>
      </w:r>
      <w:r>
        <w:t xml:space="preserve"> </w:t>
      </w:r>
      <w:r>
        <w:t xml:space="preserve"> </w:t>
      </w:r>
      <w:r>
        <w:t xml:space="preserve">11.5</w:t>
      </w:r>
      <w:r>
        <w:t xml:space="preserve"> </w:t>
      </w:r>
      <w:r>
        <w:t xml:space="preserve"> </w:t>
      </w:r>
      <w:r>
        <w:t xml:space="preserve"> </w:t>
      </w:r>
      <w:r>
        <w:t xml:space="preserve">Global Auto Manufacturers with Top Four U.S. Market Share, June 2013</w:t>
      </w:r>
      <w:r>
        <w:t xml:space="preserve"> </w:t>
      </w:r>
      <w:r>
        <w:t xml:space="preserve"> </w:t>
      </w:r>
      <w:r>
        <w:t xml:space="preserve"> </w:t>
      </w:r>
      <w:r>
        <w:t xml:space="preserve">(Source: http://www.zacks.com/commentary/27690/auto-industry-stock-outlook-june-2013)</w:t>
      </w:r>
    </w:p>
    <w:bookmarkEnd w:id="20"/>
    <w:bookmarkEnd w:id="21"/>
    <w:bookmarkStart w:id="23" w:name="fs-idp5757584"/>
    <w:bookmarkStart w:id="22" w:name="fs-idm67280992"/>
    <w:p>
      <w:pPr>
        <w:pStyle w:val="TextBody"/>
      </w:pPr>
      <w:r>
        <w:t xml:space="preserve">36</w:t>
      </w:r>
      <w:r>
        <w:t xml:space="preserve">.</w:t>
      </w:r>
      <w:r>
        <w:t xml:space="preserve"> </w:t>
      </w:r>
    </w:p>
    <w:p>
      <w:pPr>
        <w:pStyle w:val="TextBody"/>
      </w:pPr>
      <w:r>
        <w:t xml:space="preserve">Use</w:t>
      </w:r>
      <w:r>
        <w:t xml:space="preserve"> </w:t>
      </w:r>
      <w:hyperlink w:anchor="Table_11_03">
        <w:r>
          <w:rPr>
            <w:rStyle w:val="InternetLink"/>
          </w:rPr>
          <w:t xml:space="preserve">Table 11.5</w:t>
        </w:r>
      </w:hyperlink>
      <w:r>
        <w:t xml:space="preserve"> </w:t>
      </w:r>
      <w:r>
        <w:t xml:space="preserve">and</w:t>
      </w:r>
      <w:r>
        <w:t xml:space="preserve"> </w:t>
      </w:r>
      <w:hyperlink w:anchor="Table_11_04">
        <w:r>
          <w:rPr>
            <w:rStyle w:val="InternetLink"/>
          </w:rPr>
          <w:t xml:space="preserve">Table 11.6</w:t>
        </w:r>
      </w:hyperlink>
      <w:r>
        <w:t xml:space="preserve"> </w:t>
      </w:r>
      <w:r>
        <w:t xml:space="preserve">to calculate the Herfindahl-Hirschman Index for the U.S. auto market. Would the FTC approve a merger between GM and Ford?</w:t>
      </w:r>
    </w:p>
    <w:tbl>
      <w:tblPr>
        <w:tblStyle w:val="Table"/>
        <w:tblW w:type="pct" w:w="0.0"/>
        <w:tblLook w:firstRow="0" w:lastRow="0" w:firstColumn="0" w:lastColumn="0" w:noHBand="0" w:noVBand="0"/>
      </w:tblPr>
      <w:tblGrid/>
      <w:tr>
        <w:tc>
          <w:p>
            <w:pPr>
              <w:pStyle w:val="Compact"/>
              <w:jc w:val="left"/>
            </w:pPr>
            <w:r>
              <w:t xml:space="preserve">Honda</w:t>
            </w:r>
          </w:p>
        </w:tc>
        <w:tc>
          <w:p>
            <w:pPr>
              <w:pStyle w:val="Compact"/>
              <w:jc w:val="left"/>
            </w:pPr>
            <w:r>
              <w:t xml:space="preserve">10%</w:t>
            </w:r>
          </w:p>
        </w:tc>
      </w:tr>
      <w:tr>
        <w:tc>
          <w:p>
            <w:pPr>
              <w:pStyle w:val="Compact"/>
              <w:jc w:val="left"/>
            </w:pPr>
            <w:r>
              <w:t xml:space="preserve">Nissan</w:t>
            </w:r>
          </w:p>
        </w:tc>
        <w:tc>
          <w:p>
            <w:pPr>
              <w:pStyle w:val="Compact"/>
              <w:jc w:val="left"/>
            </w:pPr>
            <w:r>
              <w:t xml:space="preserve">7%</w:t>
            </w:r>
          </w:p>
        </w:tc>
      </w:tr>
      <w:tr>
        <w:tc>
          <w:p>
            <w:pPr>
              <w:pStyle w:val="Compact"/>
              <w:jc w:val="left"/>
            </w:pPr>
            <w:r>
              <w:t xml:space="preserve">Hyundai</w:t>
            </w:r>
          </w:p>
        </w:tc>
        <w:tc>
          <w:p>
            <w:pPr>
              <w:pStyle w:val="Compact"/>
              <w:jc w:val="left"/>
            </w:pPr>
            <w:r>
              <w:t xml:space="preserve">5%</w:t>
            </w:r>
          </w:p>
        </w:tc>
      </w:tr>
      <w:tr>
        <w:tc>
          <w:p>
            <w:pPr>
              <w:pStyle w:val="Compact"/>
              <w:jc w:val="left"/>
            </w:pPr>
            <w:r>
              <w:t xml:space="preserve">Kia</w:t>
            </w:r>
          </w:p>
        </w:tc>
        <w:tc>
          <w:p>
            <w:pPr>
              <w:pStyle w:val="Compact"/>
              <w:jc w:val="left"/>
            </w:pPr>
            <w:r>
              <w:t xml:space="preserve">4%</w:t>
            </w:r>
          </w:p>
        </w:tc>
      </w:tr>
      <w:tr>
        <w:tc>
          <w:p>
            <w:pPr>
              <w:pStyle w:val="Compact"/>
              <w:jc w:val="left"/>
            </w:pPr>
            <w:r>
              <w:t xml:space="preserve">Subaru</w:t>
            </w:r>
          </w:p>
        </w:tc>
        <w:tc>
          <w:p>
            <w:pPr>
              <w:pStyle w:val="Compact"/>
              <w:jc w:val="left"/>
            </w:pPr>
            <w:r>
              <w:t xml:space="preserve">3%</w:t>
            </w:r>
          </w:p>
        </w:tc>
      </w:tr>
      <w:tr>
        <w:tc>
          <w:p>
            <w:pPr>
              <w:pStyle w:val="Compact"/>
              <w:jc w:val="left"/>
            </w:pPr>
            <w:r>
              <w:t xml:space="preserve">Volkswagen</w:t>
            </w:r>
          </w:p>
        </w:tc>
        <w:tc>
          <w:p>
            <w:pPr>
              <w:pStyle w:val="Compact"/>
              <w:jc w:val="left"/>
            </w:pPr>
            <w:r>
              <w:t xml:space="preserve">3%</w:t>
            </w:r>
          </w:p>
        </w:tc>
      </w:tr>
    </w:tbl>
    <w:p>
      <w:pPr>
        <w:pStyle w:val="TextBody"/>
      </w:pPr>
      <w:r>
        <w:t xml:space="preserve">Table</w:t>
      </w:r>
      <w:r>
        <w:t xml:space="preserve"> </w:t>
      </w:r>
      <w:r>
        <w:t xml:space="preserve"> </w:t>
      </w:r>
      <w:r>
        <w:t xml:space="preserve">11.6</w:t>
      </w:r>
      <w:r>
        <w:t xml:space="preserve"> </w:t>
      </w:r>
      <w:r>
        <w:t xml:space="preserve"> </w:t>
      </w:r>
      <w:r>
        <w:t xml:space="preserve"> </w:t>
      </w:r>
      <w:r>
        <w:t xml:space="preserve"> </w:t>
      </w:r>
      <w:r>
        <w:t xml:space="preserve">Global Auto Manufacturers with additional U.S. Market Share, June 2013</w:t>
      </w:r>
      <w:r>
        <w:t xml:space="preserve"> </w:t>
      </w:r>
      <w:r>
        <w:t xml:space="preserve"> </w:t>
      </w:r>
      <w:r>
        <w:t xml:space="preserve"> </w:t>
      </w:r>
      <w:r>
        <w:t xml:space="preserve">(Source: http://www.zacks.com/commentary/27690/auto-industry-stock-outlook-june-2013)</w:t>
      </w:r>
    </w:p>
    <w:bookmarkEnd w:id="22"/>
    <w:bookmarkEnd w:id="23"/>
    <w:bookmarkEnd w:id="24"/>
    <w:bookmarkStart w:id="32" w:name="fs-idp89437456"/>
    <w:p>
      <w:pPr>
        <w:pStyle w:val="TextBody"/>
      </w:pPr>
      <w:r>
        <w:t xml:space="preserve">Use</w:t>
      </w:r>
      <w:r>
        <w:t xml:space="preserve"> </w:t>
      </w:r>
      <w:hyperlink r:id="rId25">
        <w:r>
          <w:rPr>
            <w:rStyle w:val="InternetLink"/>
          </w:rPr>
          <w:t xml:space="preserve">Table 11.4</w:t>
        </w:r>
      </w:hyperlink>
      <w:r>
        <w:t xml:space="preserve"> </w:t>
      </w:r>
      <w:r>
        <w:t xml:space="preserve">to answer the following questions.</w:t>
      </w:r>
    </w:p>
    <w:bookmarkStart w:id="27" w:name="fs-idp124281472"/>
    <w:bookmarkStart w:id="26" w:name="fs-idp123022912"/>
    <w:p>
      <w:pPr>
        <w:pStyle w:val="TextBody"/>
      </w:pPr>
      <w:r>
        <w:t xml:space="preserve">37</w:t>
      </w:r>
      <w:r>
        <w:t xml:space="preserve">.</w:t>
      </w:r>
      <w:r>
        <w:t xml:space="preserve"> </w:t>
      </w:r>
    </w:p>
    <w:p>
      <w:pPr>
        <w:pStyle w:val="TextBody"/>
      </w:pPr>
      <w:r>
        <w:t xml:space="preserve">If the transit system were allowed to operate as an unregulated monopoly, what output would it supply and what price would it charge?</w:t>
      </w:r>
    </w:p>
    <w:bookmarkEnd w:id="26"/>
    <w:bookmarkEnd w:id="27"/>
    <w:bookmarkStart w:id="29" w:name="fs-idp70146576"/>
    <w:bookmarkStart w:id="28" w:name="fs-idp70146832"/>
    <w:p>
      <w:pPr>
        <w:pStyle w:val="TextBody"/>
      </w:pPr>
      <w:r>
        <w:t xml:space="preserve">38</w:t>
      </w:r>
      <w:r>
        <w:t xml:space="preserve">.</w:t>
      </w:r>
      <w:r>
        <w:t xml:space="preserve"> </w:t>
      </w:r>
    </w:p>
    <w:p>
      <w:pPr>
        <w:pStyle w:val="TextBody"/>
      </w:pPr>
      <w:r>
        <w:t xml:space="preserve">If the transit system were regulated to operate with no subsidy (i.e., at zero economic profit), what approximate output would it supply and what approximate price would it charge?</w:t>
      </w:r>
    </w:p>
    <w:bookmarkEnd w:id="28"/>
    <w:bookmarkEnd w:id="29"/>
    <w:bookmarkStart w:id="31" w:name="fs-idp113754352"/>
    <w:bookmarkStart w:id="30" w:name="fs-idp25978896"/>
    <w:p>
      <w:pPr>
        <w:pStyle w:val="TextBody"/>
      </w:pPr>
      <w:r>
        <w:t xml:space="preserve">39</w:t>
      </w:r>
      <w:r>
        <w:t xml:space="preserve">.</w:t>
      </w:r>
      <w:r>
        <w:t xml:space="preserve"> </w:t>
      </w:r>
    </w:p>
    <w:p>
      <w:pPr>
        <w:pStyle w:val="TextBody"/>
      </w:pPr>
      <w:r>
        <w:t xml:space="preserve">If the transit system were regulated to provide the most allocatively efficient quantity of output, what output would it supply and what price would it charge? What subsidy would be necessary to ensure this efficient provision of transit services?</w:t>
      </w:r>
    </w:p>
    <w:bookmarkEnd w:id="30"/>
    <w:bookmarkEnd w:id="31"/>
    <w:bookmarkEnd w:id="32"/>
    <w:bookmarkEnd w:id="33"/>
    <w:bookmarkEnd w:id="3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books/principles-microeconomics-3e/pages/11-self-check-questions#Table_11_0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11-self-check-questions#Table_11_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2023-01-13T15:43:00Z</dcterms:created>
  <dcterms:modified xsi:type="dcterms:W3CDTF">2023-01-13T15:43:00Z</dcterms:modified>
</cp:coreProperties>
</file>

<file path=docProps/custom.xml><?xml version="1.0" encoding="utf-8"?>
<Properties xmlns="http://schemas.openxmlformats.org/officeDocument/2006/custom-properties" xmlns:vt="http://schemas.openxmlformats.org/officeDocument/2006/docPropsVTypes"/>
</file>