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5.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6" w:name="X3a02d41601150c5973381f9f8a56aa233d880b0"/>
    <w:bookmarkStart w:id="45" w:name="Xe6e93b11a2bf991d5b01c7e0174a523f6bea41d"/>
    <w:p>
      <w:pPr>
        <w:pStyle w:val="Heading2"/>
      </w:pPr>
      <w:r>
        <w:t xml:space="preserve">13.2</w:t>
      </w:r>
      <w:r>
        <w:t xml:space="preserve"> </w:t>
      </w:r>
      <w:r>
        <w:t xml:space="preserve"> </w:t>
      </w:r>
      <w:r>
        <w:t xml:space="preserve"> </w:t>
      </w:r>
      <w:r>
        <w:t xml:space="preserve">How Governments Can Encourage Innovation</w:t>
      </w:r>
    </w:p>
    <w:bookmarkStart w:id="21" w:name="X56a192b7913b04c54574d18c28d46e6395428ab"/>
    <w:bookmarkStart w:id="20" w:name="learning-objectives"/>
    <w:p>
      <w:pPr>
        <w:pStyle w:val="Heading3"/>
      </w:pPr>
      <w:r>
        <w:t xml:space="preserve">Learning Objectives</w:t>
      </w:r>
    </w:p>
    <w:p>
      <w:pPr>
        <w:pStyle w:val="FirstParagraph"/>
      </w:pPr>
      <w:r>
        <w:t xml:space="preserve">By the end of this section, you will be able to:</w:t>
      </w:r>
    </w:p>
    <w:p>
      <w:pPr>
        <w:numPr>
          <w:ilvl w:val="0"/>
          <w:numId w:val="1001"/>
        </w:numPr>
        <w:pStyle w:val="Compact"/>
      </w:pPr>
      <w:r>
        <w:t xml:space="preserve">Explain the effects of intellectual property rights on social and private rates of return.</w:t>
      </w:r>
    </w:p>
    <w:p>
      <w:pPr>
        <w:numPr>
          <w:ilvl w:val="0"/>
          <w:numId w:val="1001"/>
        </w:numPr>
        <w:pStyle w:val="Compact"/>
      </w:pPr>
      <w:r>
        <w:t xml:space="preserve">Identify three U.S. Government policies and explain how they encourage innovation</w:t>
      </w:r>
    </w:p>
    <w:bookmarkEnd w:id="20"/>
    <w:bookmarkEnd w:id="21"/>
    <w:p>
      <w:pPr>
        <w:pStyle w:val="FirstParagraph"/>
      </w:pPr>
      <w:r>
        <w:t xml:space="preserve">A number of different government policies can increase the incentives to innovate, including: guaranteeing intellectual property rights, government assistance with the costs of research and development, and cooperative research ventures between universities and companies.</w:t>
      </w:r>
    </w:p>
    <w:bookmarkStart w:id="29" w:name="ch13mod02_01"/>
    <w:bookmarkStart w:id="28" w:name="intellectual-property-rights"/>
    <w:p>
      <w:pPr>
        <w:pStyle w:val="Heading3"/>
      </w:pPr>
      <w:r>
        <w:t xml:space="preserve">Intellectual Property Rights</w:t>
      </w:r>
    </w:p>
    <w:p>
      <w:pPr>
        <w:pStyle w:val="FirstParagraph"/>
      </w:pPr>
      <w:r>
        <w:t xml:space="preserve">One way to increase new technology is to guarantee the innovator an exclusive right to that new product or process.</w:t>
      </w:r>
      <w:r>
        <w:t xml:space="preserve"> </w:t>
      </w:r>
      <w:bookmarkStart w:id="22" w:name="term-00001"/>
      <w:r>
        <w:t xml:space="preserve">Intellectual property</w:t>
      </w:r>
      <w:bookmarkEnd w:id="22"/>
      <w:r>
        <w:t xml:space="preserve"> </w:t>
      </w:r>
      <w:r>
        <w:t xml:space="preserve">rights include patents, which give the inventor the exclusive legal right to make, use, or sell the invention for a limited time, and copyright laws, which give the author an exclusive legal right over works of literature, music, film/video, and pictures. For example, if a pharmaceutical firm has a</w:t>
      </w:r>
      <w:r>
        <w:t xml:space="preserve"> </w:t>
      </w:r>
      <w:bookmarkStart w:id="23" w:name="term-00002"/>
      <w:r>
        <w:t xml:space="preserve">patent</w:t>
      </w:r>
      <w:bookmarkEnd w:id="23"/>
      <w:r>
        <w:t xml:space="preserve"> </w:t>
      </w:r>
      <w:r>
        <w:t xml:space="preserve">on a new drug, then no other firm can manufacture or sell that drug for 20 years, unless the firm with the patent grants permission. Without a patent, the pharmaceutical firm would have to face competition for any successful products, and could earn no more than a normal rate of profit. With a patent, a firm is able to earn monopoly profits on its product for a period of time—which offers an incentive for research and development. In general, how long can “a period of time” be? The Clear It Up discusses patent and copyright protection timeframes for some works you might know.</w:t>
      </w:r>
    </w:p>
    <w:bookmarkStart w:id="24" w:name="ch13mod02_clear01"/>
    <w:p>
      <w:pPr>
        <w:pStyle w:val="Heading3Grey"/>
      </w:pPr>
      <w:r>
        <w:t xml:space="preserve">Clear It Up</w:t>
      </w:r>
    </w:p>
    <w:p>
      <w:pPr>
        <w:pStyle w:val="Heading4Grey"/>
      </w:pPr>
      <w:r>
        <w:t xml:space="preserve">How long is Mickey Mouse protected from being copied?</w:t>
      </w:r>
    </w:p>
    <w:p>
      <w:pPr>
        <w:pStyle w:val="NoteExampleGrey"/>
      </w:pPr>
      <w:r>
        <w:t xml:space="preserve">All patents and copyrights are scheduled to end someday. In 2003, copyright protection for Mickey Mouse was scheduled to run out. Once the copyright had expired, anyone would be able to copy Mickey Mouse cartoons or draw and sell new ones. In 1998, however, Congress passed the Sonny Bono Copyright Term Extension Act. For copyrights owned by companies or other entities, it increased or extended the copyright from 75 years to 95 years after publication. For copyrights owned by individuals, it increased or extended the copyright coverage from 50 years to 70 years after death. Along with protecting Mickey for another 20 years, the copyright extension affected about 400,000 books, movies, and songs.</w:t>
      </w:r>
    </w:p>
    <w:bookmarkEnd w:id="24"/>
    <w:p>
      <w:pPr>
        <w:pStyle w:val="TextBody"/>
      </w:pPr>
      <w:hyperlink w:anchor="CNX_Econ_C13_003">
        <w:r>
          <w:rPr>
            <w:rStyle w:val="InternetLink"/>
          </w:rPr>
          <w:t xml:space="preserve">Figure 13.4</w:t>
        </w:r>
      </w:hyperlink>
      <w:r>
        <w:t xml:space="preserve"> </w:t>
      </w:r>
      <w:r>
        <w:t xml:space="preserve">illustrates how the total number of patent applications filed with the U.S. Patent and Trademark Office, as well as the total number of patents granted, surged in the mid-1990s with the invention of the internet, and is still going strong today.</w:t>
      </w:r>
    </w:p>
    <w:p>
      <w:pPr>
        <w:pStyle w:val="Figure"/>
      </w:pPr>
      <w:bookmarkStart w:id="26" w:name="Xb6453892473a467d07372d45eb05abc2031647a"/>
      <w:r>
        <w:drawing>
          <wp:inline>
            <wp:extent cx="5943600" cy="2368296"/>
            <wp:effectExtent b="0" l="0" r="0" t="0"/>
            <wp:docPr descr="" title="" id="1" name="Picture"/>
            <a:graphic>
              <a:graphicData uri="http://schemas.openxmlformats.org/drawingml/2006/picture">
                <pic:pic>
                  <pic:nvPicPr>
                    <pic:cNvPr descr="../resources/ae1a1192336b31012c7ec9658df2af1cef87df99" id="0" name="Picture"/>
                    <pic:cNvPicPr>
                      <a:picLocks noChangeArrowheads="1" noChangeAspect="1"/>
                    </pic:cNvPicPr>
                  </pic:nvPicPr>
                  <pic:blipFill>
                    <a:blip r:embed="rId25"/>
                    <a:stretch>
                      <a:fillRect/>
                    </a:stretch>
                  </pic:blipFill>
                  <pic:spPr bwMode="auto">
                    <a:xfrm>
                      <a:off x="0" y="0"/>
                      <a:ext cx="5943600" cy="2368296"/>
                    </a:xfrm>
                    <a:prstGeom prst="rect">
                      <a:avLst/>
                    </a:prstGeom>
                    <a:noFill/>
                    <a:ln w="9525">
                      <a:noFill/>
                      <a:headEnd/>
                      <a:tailEnd/>
                    </a:ln>
                  </pic:spPr>
                </pic:pic>
              </a:graphicData>
            </a:graphic>
          </wp:inline>
        </w:drawing>
      </w:r>
      <w:bookmarkEnd w:id="26"/>
    </w:p>
    <w:p>
      <w:pPr>
        <w:pStyle w:val="FirstParagraph"/>
      </w:pPr>
      <w:r>
        <w:t xml:space="preserve">Figure</w:t>
      </w:r>
      <w:r>
        <w:t xml:space="preserve"> </w:t>
      </w:r>
      <w:r>
        <w:t xml:space="preserve"> </w:t>
      </w:r>
      <w:r>
        <w:t xml:space="preserve">13.4</w:t>
      </w:r>
      <w:r>
        <w:t xml:space="preserve"> </w:t>
      </w:r>
      <w:r>
        <w:t xml:space="preserve"> </w:t>
      </w:r>
      <w:r>
        <w:t xml:space="preserve"> </w:t>
      </w:r>
      <w:bookmarkStart w:id="27" w:name="X7de68daecd823babbb58edb1c8e14d7106e83bb"/>
      <w:r>
        <w:t xml:space="preserve">Patents Filed and Granted, 1981–2012</w:t>
      </w:r>
      <w:bookmarkEnd w:id="27"/>
      <w:r>
        <w:t xml:space="preserve"> </w:t>
      </w:r>
      <w:r>
        <w:t xml:space="preserve"> </w:t>
      </w:r>
      <w:r>
        <w:t xml:space="preserve"> </w:t>
      </w:r>
      <w:r>
        <w:t xml:space="preserve">The number of applications filed for patents increased substantially beginning in the 1990s, due in part to the invention of the internet, which has led to many other inventions and to the 1998 Copyright Term Extension Act. (Source: http://www.uspto.gov/web/offices/ac/ido/oeip/taf/us_stat.htm)</w:t>
      </w:r>
    </w:p>
    <w:p>
      <w:pPr>
        <w:pStyle w:val="TextBody"/>
      </w:pPr>
      <w:r>
        <w:t xml:space="preserve">While patents provide an incentive to innovate by protecting the innovator, they are not perfect. For example:</w:t>
      </w:r>
    </w:p>
    <w:p>
      <w:pPr>
        <w:numPr>
          <w:ilvl w:val="0"/>
          <w:numId w:val="1002"/>
        </w:numPr>
        <w:pStyle w:val="Compact"/>
      </w:pPr>
      <w:r>
        <w:t xml:space="preserve">In countries that already have patents, economic studies show that inventors receive only one-third to one-half of the total economic value of their inventions.</w:t>
      </w:r>
    </w:p>
    <w:p>
      <w:pPr>
        <w:numPr>
          <w:ilvl w:val="0"/>
          <w:numId w:val="1002"/>
        </w:numPr>
        <w:pStyle w:val="Compact"/>
      </w:pPr>
      <w:r>
        <w:t xml:space="preserve">In a fast-moving high-technology industry like biotechnology or semiconductor design, patents may be almost irrelevant because technology is advancing so quickly.</w:t>
      </w:r>
    </w:p>
    <w:p>
      <w:pPr>
        <w:numPr>
          <w:ilvl w:val="0"/>
          <w:numId w:val="1002"/>
        </w:numPr>
        <w:pStyle w:val="Compact"/>
      </w:pPr>
      <w:r>
        <w:t xml:space="preserve">Not every new idea can be protected with a patent or a copyright—for example, a new way of organizing a factory or a new way of training employees.</w:t>
      </w:r>
    </w:p>
    <w:p>
      <w:pPr>
        <w:numPr>
          <w:ilvl w:val="0"/>
          <w:numId w:val="1002"/>
        </w:numPr>
        <w:pStyle w:val="Compact"/>
      </w:pPr>
      <w:r>
        <w:t xml:space="preserve">Patents may sometimes cover too much or be granted too easily. In the early 1970s, Xerox had received over 1,700 patents on various elements of the photocopy machine. Every time Xerox improved the photocopier, it received a patent on the improvement.</w:t>
      </w:r>
    </w:p>
    <w:p>
      <w:pPr>
        <w:numPr>
          <w:ilvl w:val="0"/>
          <w:numId w:val="1002"/>
        </w:numPr>
        <w:pStyle w:val="Compact"/>
      </w:pPr>
      <w:r>
        <w:t xml:space="preserve">The 20-year time period for a patent is somewhat arbitrary. Ideally, a patent should cover a long enough period of time for the inventor to earn a good return, but not so long that it allows the inventor to charge a monopoly price permanently.</w:t>
      </w:r>
    </w:p>
    <w:p>
      <w:pPr>
        <w:pStyle w:val="FirstParagraph"/>
      </w:pPr>
      <w:r>
        <w:t xml:space="preserve">Because patents are imperfect and do not apply well to all situations, alternative methods of improving the rate of return for inventors of new technology are desirable. The following sections describe some of these possible alternative policies.</w:t>
      </w:r>
    </w:p>
    <w:bookmarkEnd w:id="28"/>
    <w:bookmarkEnd w:id="29"/>
    <w:bookmarkStart w:id="34" w:name="ch13mod02_02"/>
    <w:bookmarkStart w:id="33" w:name="X63fb2e68b55cbc8209cf3d472f0d628a402dd76"/>
    <w:p>
      <w:pPr>
        <w:pStyle w:val="Heading3"/>
      </w:pPr>
      <w:r>
        <w:t xml:space="preserve">Policy #1: Government Spending on Research and Development</w:t>
      </w:r>
    </w:p>
    <w:p>
      <w:pPr>
        <w:pStyle w:val="FirstParagraph"/>
      </w:pPr>
      <w:r>
        <w:t xml:space="preserve">If the private sector does not have sufficient incentive to carry out research and development, one possibility is for the government to fund such work directly. Government spending can provide direct financial support for research and development (R&amp;D) conducted at colleges and universities, nonprofit research entities, and sometimes by private firms, as well as at government-run laboratories. While government spending on research and development produces technology that is broadly available for firms to use, it costs taxpayers money and can sometimes be directed more for political than for scientific or economic reasons.</w:t>
      </w:r>
    </w:p>
    <w:bookmarkStart w:id="32" w:name="ch13mod02_link01"/>
    <w:p>
      <w:pPr>
        <w:pStyle w:val="Heading3Grey"/>
      </w:pPr>
      <w:r>
        <w:t xml:space="preserve">Link It Up</w:t>
      </w:r>
    </w:p>
    <w:p>
      <w:pPr>
        <w:pStyle w:val="NoteExampleGrey"/>
      </w:pPr>
      <w:r>
        <w:t xml:space="preserve">Visit the NASA</w:t>
      </w:r>
      <w:r>
        <w:t xml:space="preserve"> </w:t>
      </w:r>
      <w:hyperlink r:id="rId30">
        <w:r>
          <w:rPr>
            <w:rStyle w:val="InternetLink"/>
          </w:rPr>
          <w:t xml:space="preserve">website</w:t>
        </w:r>
      </w:hyperlink>
      <w:r>
        <w:t xml:space="preserve"> </w:t>
      </w:r>
      <w:r>
        <w:t xml:space="preserve">and the USDA</w:t>
      </w:r>
      <w:r>
        <w:t xml:space="preserve"> </w:t>
      </w:r>
      <w:hyperlink r:id="rId31">
        <w:r>
          <w:rPr>
            <w:rStyle w:val="InternetLink"/>
          </w:rPr>
          <w:t xml:space="preserve">website</w:t>
        </w:r>
      </w:hyperlink>
      <w:r>
        <w:t xml:space="preserve"> </w:t>
      </w:r>
      <w:r>
        <w:t xml:space="preserve">to read about government research that would not take place were it left to firms, due to the externalities.</w:t>
      </w:r>
    </w:p>
    <w:bookmarkEnd w:id="32"/>
    <w:p>
      <w:pPr>
        <w:pStyle w:val="TextBody"/>
      </w:pPr>
      <w:r>
        <w:t xml:space="preserve">The first column of</w:t>
      </w:r>
      <w:r>
        <w:t xml:space="preserve"> </w:t>
      </w:r>
      <w:hyperlink w:anchor="ch13mod02_tab05">
        <w:r>
          <w:rPr>
            <w:rStyle w:val="InternetLink"/>
          </w:rPr>
          <w:t xml:space="preserve">Table 13.3</w:t>
        </w:r>
      </w:hyperlink>
      <w:r>
        <w:t xml:space="preserve"> </w:t>
      </w:r>
      <w:r>
        <w:t xml:space="preserve">shows the sources of total U.S. spending on research and development. The second column shows the total dollars of R&amp;D funding by each source. The third column shows that, relative to the total amount of funding, 22.7% comes from the federal government, about 69% of R&amp;D is done by industry, and less than 4% is done by universities and colleges. (The percentages below do not add up to exactly 100% due to rounding.)</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Sources of R&amp;D Funding</w:t>
            </w:r>
          </w:p>
        </w:tc>
        <w:tc>
          <w:tcPr>
            <w:tcBorders>
              <w:bottom w:val="single"/>
            </w:tcBorders>
            <w:vAlign w:val="bottom"/>
          </w:tcPr>
          <w:p>
            <w:pPr>
              <w:pStyle w:val="Compact"/>
              <w:jc w:val="left"/>
            </w:pPr>
            <w:r>
              <w:t xml:space="preserve">Amount ($ billions)</w:t>
            </w:r>
          </w:p>
        </w:tc>
        <w:tc>
          <w:tcPr>
            <w:tcBorders>
              <w:bottom w:val="single"/>
            </w:tcBorders>
            <w:vAlign w:val="bottom"/>
          </w:tcPr>
          <w:p>
            <w:pPr>
              <w:pStyle w:val="Compact"/>
              <w:jc w:val="left"/>
            </w:pPr>
            <w:r>
              <w:t xml:space="preserve">Percent of the Total</w:t>
            </w:r>
          </w:p>
        </w:tc>
      </w:tr>
      <w:tr>
        <w:tc>
          <w:p>
            <w:pPr>
              <w:pStyle w:val="Compact"/>
              <w:jc w:val="left"/>
            </w:pPr>
            <w:r>
              <w:rPr>
                <w:bCs/>
                <w:b/>
              </w:rPr>
              <w:t xml:space="preserve">Federal government</w:t>
            </w:r>
          </w:p>
        </w:tc>
        <w:tc>
          <w:p>
            <w:pPr>
              <w:pStyle w:val="Compact"/>
              <w:jc w:val="left"/>
            </w:pPr>
            <w:r>
              <w:rPr>
                <w:bCs/>
                <w:b/>
              </w:rPr>
              <w:t xml:space="preserve">$129.6</w:t>
            </w:r>
          </w:p>
        </w:tc>
        <w:tc>
          <w:p>
            <w:pPr>
              <w:pStyle w:val="Compact"/>
              <w:jc w:val="left"/>
            </w:pPr>
            <w:r>
              <w:rPr>
                <w:bCs/>
                <w:b/>
              </w:rPr>
              <w:t xml:space="preserve">21.4%</w:t>
            </w:r>
          </w:p>
        </w:tc>
      </w:tr>
      <w:tr>
        <w:tc>
          <w:p>
            <w:pPr>
              <w:pStyle w:val="Compact"/>
              <w:jc w:val="left"/>
            </w:pPr>
            <w:r>
              <w:t xml:space="preserve">Industry</w:t>
            </w:r>
          </w:p>
        </w:tc>
        <w:tc>
          <w:p>
            <w:pPr>
              <w:pStyle w:val="Compact"/>
              <w:jc w:val="left"/>
            </w:pPr>
            <w:r>
              <w:t xml:space="preserve">$426.0</w:t>
            </w:r>
          </w:p>
        </w:tc>
        <w:tc>
          <w:p>
            <w:pPr>
              <w:pStyle w:val="Compact"/>
              <w:jc w:val="left"/>
            </w:pPr>
            <w:r>
              <w:t xml:space="preserve">70.3%</w:t>
            </w:r>
          </w:p>
        </w:tc>
      </w:tr>
      <w:tr>
        <w:tc>
          <w:p>
            <w:pPr>
              <w:pStyle w:val="Compact"/>
              <w:jc w:val="left"/>
            </w:pPr>
            <w:r>
              <w:t xml:space="preserve">Universities and colleges</w:t>
            </w:r>
          </w:p>
        </w:tc>
        <w:tc>
          <w:p>
            <w:pPr>
              <w:pStyle w:val="Compact"/>
              <w:jc w:val="left"/>
            </w:pPr>
            <w:r>
              <w:t xml:space="preserve">$20.7</w:t>
            </w:r>
          </w:p>
        </w:tc>
        <w:tc>
          <w:p>
            <w:pPr>
              <w:pStyle w:val="Compact"/>
              <w:jc w:val="left"/>
            </w:pPr>
            <w:r>
              <w:t xml:space="preserve">3.4%</w:t>
            </w:r>
          </w:p>
        </w:tc>
      </w:tr>
      <w:tr>
        <w:tc>
          <w:p>
            <w:pPr>
              <w:pStyle w:val="Compact"/>
              <w:jc w:val="left"/>
            </w:pPr>
            <w:r>
              <w:t xml:space="preserve">Nonprofits</w:t>
            </w:r>
          </w:p>
        </w:tc>
        <w:tc>
          <w:p>
            <w:pPr>
              <w:pStyle w:val="Compact"/>
              <w:jc w:val="left"/>
            </w:pPr>
            <w:r>
              <w:t xml:space="preserve">$25.0</w:t>
            </w:r>
          </w:p>
        </w:tc>
        <w:tc>
          <w:p>
            <w:pPr>
              <w:pStyle w:val="Compact"/>
              <w:jc w:val="left"/>
            </w:pPr>
            <w:r>
              <w:t xml:space="preserve">4.1%</w:t>
            </w:r>
          </w:p>
        </w:tc>
      </w:tr>
      <w:tr>
        <w:tc>
          <w:p>
            <w:pPr>
              <w:pStyle w:val="Compact"/>
              <w:jc w:val="left"/>
            </w:pPr>
            <w:r>
              <w:t xml:space="preserve">Nonfederal government</w:t>
            </w:r>
          </w:p>
        </w:tc>
        <w:tc>
          <w:p>
            <w:pPr>
              <w:pStyle w:val="Compact"/>
              <w:jc w:val="left"/>
            </w:pPr>
            <w:r>
              <w:t xml:space="preserve">$4.8</w:t>
            </w:r>
          </w:p>
        </w:tc>
        <w:tc>
          <w:p>
            <w:pPr>
              <w:pStyle w:val="Compact"/>
              <w:jc w:val="left"/>
            </w:pPr>
            <w:r>
              <w:t xml:space="preserve">0.8%</w:t>
            </w:r>
          </w:p>
        </w:tc>
      </w:tr>
      <w:tr>
        <w:tc>
          <w:p>
            <w:pPr>
              <w:pStyle w:val="Compact"/>
              <w:jc w:val="left"/>
            </w:pPr>
            <w:r>
              <w:rPr>
                <w:iCs/>
                <w:i/>
              </w:rPr>
              <w:t xml:space="preserve">Total</w:t>
            </w:r>
          </w:p>
        </w:tc>
        <w:tc>
          <w:p>
            <w:pPr>
              <w:pStyle w:val="Compact"/>
              <w:jc w:val="left"/>
            </w:pPr>
            <w:r>
              <w:rPr>
                <w:iCs/>
                <w:i/>
              </w:rPr>
              <w:t xml:space="preserve">$606.1</w:t>
            </w:r>
          </w:p>
        </w:tc>
        <w:tc>
          <w:p/>
        </w:tc>
      </w:tr>
    </w:tbl>
    <w:p>
      <w:pPr>
        <w:pStyle w:val="TextBody"/>
      </w:pPr>
      <w:r>
        <w:t xml:space="preserve">Table</w:t>
      </w:r>
      <w:r>
        <w:t xml:space="preserve"> </w:t>
      </w:r>
      <w:r>
        <w:t xml:space="preserve"> </w:t>
      </w:r>
      <w:r>
        <w:t xml:space="preserve">13.3</w:t>
      </w:r>
      <w:r>
        <w:t xml:space="preserve"> </w:t>
      </w:r>
      <w:r>
        <w:t xml:space="preserve"> </w:t>
      </w:r>
      <w:r>
        <w:t xml:space="preserve"> </w:t>
      </w:r>
      <w:r>
        <w:t xml:space="preserve">U.S. Research and Development Expenditures, 2018</w:t>
      </w:r>
      <w:r>
        <w:t xml:space="preserve"> </w:t>
      </w:r>
      <w:r>
        <w:t xml:space="preserve"> </w:t>
      </w:r>
      <w:r>
        <w:t xml:space="preserve"> </w:t>
      </w:r>
      <w:r>
        <w:t xml:space="preserve">(Source: https://ncses.nsf.gov/pubs/nsf21324)</w:t>
      </w:r>
    </w:p>
    <w:p>
      <w:pPr>
        <w:pStyle w:val="TextBody"/>
      </w:pPr>
      <w:r>
        <w:t xml:space="preserve">In the 1960s the federal government paid for about two-thirds of the nation’s R&amp;D. Over time, the U.S. economy has come to rely much more heavily on industry-funded R&amp;D. The federal government has tried to focus its direct R&amp;D spending on areas where private firms are not as active. One difficulty with direct government support of R&amp;D is that it inevitably involves political decisions about which projects are worthy. The scientific question of whether research is worthwhile can easily become entangled with considerations like the location of the congressional district in which the research funding is spent.</w:t>
      </w:r>
    </w:p>
    <w:bookmarkEnd w:id="33"/>
    <w:bookmarkEnd w:id="34"/>
    <w:bookmarkStart w:id="38" w:name="ch13mod02_03"/>
    <w:bookmarkStart w:id="37" w:name="Xf34348b64968d72e74c991e18e86843849202ec"/>
    <w:p>
      <w:pPr>
        <w:pStyle w:val="Heading3"/>
      </w:pPr>
      <w:r>
        <w:t xml:space="preserve">Policy #2: Tax Breaks for Research and Development</w:t>
      </w:r>
    </w:p>
    <w:p>
      <w:pPr>
        <w:pStyle w:val="FirstParagraph"/>
      </w:pPr>
      <w:r>
        <w:t xml:space="preserve">A complementary approach to supporting R&amp;D that does not involve the government’s close scrutiny of specific projects is to give firms a reduction in taxes depending on how much research and development they do. The federal government refers to this policy as the research and experimentation (R&amp;E) tax credit. According to the Treasury Department: “. . . the R&amp;E Credit is also a cost-effective policy for stimulating additional private sector investment. Most recent studies find that each dollar of foregone tax revenue through the R&amp;E Tax Credit causes firms to invest at least a dollar in R&amp;D, with some studies finding a benefit to cost ratio of 2 or 2.96.”</w:t>
      </w:r>
    </w:p>
    <w:bookmarkStart w:id="36" w:name="ch13mod02_link02"/>
    <w:p>
      <w:pPr>
        <w:pStyle w:val="Heading3Grey"/>
      </w:pPr>
      <w:r>
        <w:t xml:space="preserve">Link It Up</w:t>
      </w:r>
    </w:p>
    <w:p>
      <w:pPr>
        <w:pStyle w:val="NoteExampleGrey"/>
      </w:pPr>
      <w:r>
        <w:t xml:space="preserve">Visit this</w:t>
      </w:r>
      <w:r>
        <w:t xml:space="preserve"> </w:t>
      </w:r>
      <w:hyperlink r:id="rId35">
        <w:r>
          <w:rPr>
            <w:rStyle w:val="InternetLink"/>
          </w:rPr>
          <w:t xml:space="preserve">website</w:t>
        </w:r>
      </w:hyperlink>
      <w:r>
        <w:t xml:space="preserve"> </w:t>
      </w:r>
      <w:r>
        <w:t xml:space="preserve">for more information on how the R&amp;E Tax Credit encourages investment.</w:t>
      </w:r>
    </w:p>
    <w:bookmarkEnd w:id="36"/>
    <w:bookmarkEnd w:id="37"/>
    <w:bookmarkEnd w:id="38"/>
    <w:bookmarkStart w:id="44" w:name="ch13mod02_04"/>
    <w:bookmarkStart w:id="43" w:name="policy-3-cooperative-research"/>
    <w:p>
      <w:pPr>
        <w:pStyle w:val="Heading3"/>
      </w:pPr>
      <w:r>
        <w:t xml:space="preserve">Policy #3 Cooperative Research</w:t>
      </w:r>
    </w:p>
    <w:p>
      <w:pPr>
        <w:pStyle w:val="FirstParagraph"/>
      </w:pPr>
      <w:r>
        <w:t xml:space="preserve">State and federal governments support research in a variety of ways. For example, United for Medical Research, a coalition of groups that seek funding for the</w:t>
      </w:r>
      <w:r>
        <w:t xml:space="preserve"> </w:t>
      </w:r>
      <w:bookmarkStart w:id="39" w:name="term-00003"/>
      <w:r>
        <w:t xml:space="preserve">National Institutes of Health</w:t>
      </w:r>
      <w:bookmarkEnd w:id="39"/>
      <w:r>
        <w:t xml:space="preserve">, (which is supported by federal grants), states: “NIH-supported research added $69 billion to our GDP and supported seven million jobs in 2011 alone.” The United States remains the leading sponsor of medical-related research, spending $117 billion in 2011. Other institutions, such as the</w:t>
      </w:r>
      <w:r>
        <w:t xml:space="preserve"> </w:t>
      </w:r>
      <w:bookmarkStart w:id="40" w:name="term-00004"/>
      <w:r>
        <w:t xml:space="preserve">National Academy of Sciences</w:t>
      </w:r>
      <w:bookmarkEnd w:id="40"/>
      <w:r>
        <w:t xml:space="preserve"> </w:t>
      </w:r>
      <w:r>
        <w:t xml:space="preserve">and the</w:t>
      </w:r>
      <w:r>
        <w:t xml:space="preserve"> </w:t>
      </w:r>
      <w:bookmarkStart w:id="41" w:name="term-00005"/>
      <w:r>
        <w:t xml:space="preserve">National Academy of Engineering</w:t>
      </w:r>
      <w:bookmarkEnd w:id="41"/>
      <w:r>
        <w:t xml:space="preserve">, receive federal grants for innovative projects. The</w:t>
      </w:r>
      <w:r>
        <w:t xml:space="preserve"> </w:t>
      </w:r>
      <w:bookmarkStart w:id="42" w:name="term-00006"/>
      <w:r>
        <w:t xml:space="preserve">Agriculture and Food Research Initiative (AFRI)</w:t>
      </w:r>
      <w:bookmarkEnd w:id="42"/>
      <w:r>
        <w:t xml:space="preserve"> </w:t>
      </w:r>
      <w:r>
        <w:t xml:space="preserve">at the United States Department of Agriculture awards federal grants to projects that apply the best science to the most important agricultural problems, from food safety to childhood obesity. Cooperation between government-funded universities, academies, and the private sector can spur product innovation and create whole new industries.</w:t>
      </w:r>
    </w:p>
    <w:bookmarkEnd w:id="43"/>
    <w:bookmarkEnd w:id="44"/>
    <w:bookmarkEnd w:id="45"/>
    <w:bookmarkEnd w:id="46"/>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5" Target="media/rId25.jpeg" /><Relationship Type="http://schemas.openxmlformats.org/officeDocument/2006/relationships/hyperlink" Id="rId30" Target="http://openstax.org/l/NASA" TargetMode="External" /><Relationship Type="http://schemas.openxmlformats.org/officeDocument/2006/relationships/hyperlink" Id="rId35" Target="http://openstax.org/l/REtaxcredit" TargetMode="External" /><Relationship Type="http://schemas.openxmlformats.org/officeDocument/2006/relationships/hyperlink" Id="rId31" Target="http://openstax.org/l/USDA"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30" Target="http://openstax.org/l/NASA" TargetMode="External" /><Relationship Type="http://schemas.openxmlformats.org/officeDocument/2006/relationships/hyperlink" Id="rId35" Target="http://openstax.org/l/REtaxcredit" TargetMode="External" /><Relationship Type="http://schemas.openxmlformats.org/officeDocument/2006/relationships/hyperlink" Id="rId31" Target="http://openstax.org/l/USD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2023-01-13T15:42:59Z</dcterms:created>
  <dcterms:modified xsi:type="dcterms:W3CDTF">2023-01-13T15:42:59Z</dcterms:modified>
</cp:coreProperties>
</file>

<file path=docProps/custom.xml><?xml version="1.0" encoding="utf-8"?>
<Properties xmlns="http://schemas.openxmlformats.org/officeDocument/2006/custom-properties" xmlns:vt="http://schemas.openxmlformats.org/officeDocument/2006/docPropsVTypes"/>
</file>