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da8a261ead21aac1410b369aa3a5c9dc96fc757"/>
    <w:p>
      <w:pPr>
        <w:pStyle w:val="Figure"/>
      </w:pPr>
      <w:bookmarkStart w:id="21" w:name="Xa4b9237bacccdf19c0760cab7aec4a8359010b0"/>
      <w:r>
        <w:drawing>
          <wp:inline>
            <wp:extent cx="5943600" cy="3573780"/>
            <wp:effectExtent b="0" l="0" r="0" t="0"/>
            <wp:docPr descr="" title="" id="1" name="Picture"/>
            <a:graphic>
              <a:graphicData uri="http://schemas.openxmlformats.org/drawingml/2006/picture">
                <pic:pic>
                  <pic:nvPicPr>
                    <pic:cNvPr descr="../resources/a2eb10ba66e72fe85cce3c1bced1b24d3e65cfec" id="0" name="Picture"/>
                    <pic:cNvPicPr>
                      <a:picLocks noChangeArrowheads="1" noChangeAspect="1"/>
                    </pic:cNvPicPr>
                  </pic:nvPicPr>
                  <pic:blipFill>
                    <a:blip r:embed="rId20"/>
                    <a:stretch>
                      <a:fillRect/>
                    </a:stretch>
                  </pic:blipFill>
                  <pic:spPr bwMode="auto">
                    <a:xfrm>
                      <a:off x="0" y="0"/>
                      <a:ext cx="5943600" cy="357378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16.1</w:t>
      </w:r>
      <w:r>
        <w:t xml:space="preserve"> </w:t>
      </w:r>
      <w:r>
        <w:t xml:space="preserve"> </w:t>
      </w:r>
      <w:r>
        <w:t xml:space="preserve"> </w:t>
      </w:r>
      <w:bookmarkStart w:id="22" w:name="X56a192b7913b04c54574d18c28d46e6395428ab"/>
      <w:r>
        <w:t xml:space="preserve">Former President Obama’s Health Care Reform</w:t>
      </w:r>
      <w:r>
        <w:t xml:space="preserve"> </w:t>
      </w:r>
      <w:bookmarkEnd w:id="22"/>
      <w:r>
        <w:t xml:space="preserve"> </w:t>
      </w:r>
      <w:r>
        <w:t xml:space="preserve"> </w:t>
      </w:r>
      <w:r>
        <w:t xml:space="preserve"> </w:t>
      </w:r>
      <w:r>
        <w:t xml:space="preserve">The Patient Protection and Affordable Care Act (PPACA), more commonly known as Obamacare, relates strongly to the topic of this chapter. While originally a controversial topic, it has gained majority approval at 55% as of March 2022. (Credit: “Obama at Healthcare rally at UMD” by Daniel Borman/Flickr Creative Commons, CC BY 2.0)</w:t>
      </w:r>
    </w:p>
    <w:bookmarkStart w:id="23" w:name="fs-idm7118432"/>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The Problem of Imperfect Information and Asymmetric Information</w:t>
      </w:r>
    </w:p>
    <w:p>
      <w:pPr>
        <w:numPr>
          <w:ilvl w:val="0"/>
          <w:numId w:val="1001"/>
        </w:numPr>
        <w:pStyle w:val="Compact"/>
      </w:pPr>
      <w:r>
        <w:t xml:space="preserve">Insurance and Imperfect Information</w:t>
      </w:r>
    </w:p>
    <w:bookmarkEnd w:id="23"/>
    <w:bookmarkStart w:id="27" w:name="Xa7c1cd4bb54fde5ba2c468768bd06dad57bfc83"/>
    <w:p>
      <w:pPr>
        <w:pStyle w:val="Heading2"/>
      </w:pPr>
      <w:r>
        <w:t xml:space="preserve">Introduction to Information, Risk, and Insurance</w:t>
      </w:r>
    </w:p>
    <w:bookmarkStart w:id="26" w:name="fs-idm60291952"/>
    <w:p>
      <w:pPr>
        <w:pStyle w:val="Heading3Grey"/>
      </w:pPr>
      <w:r>
        <w:t xml:space="preserve">Bring It Home</w:t>
      </w:r>
    </w:p>
    <w:p>
      <w:pPr>
        <w:pStyle w:val="Heading4Grey"/>
      </w:pPr>
      <w:r>
        <w:t xml:space="preserve">What’s the Big Deal with Obamacare?</w:t>
      </w:r>
    </w:p>
    <w:p>
      <w:pPr>
        <w:pStyle w:val="NoteExampleGrey"/>
      </w:pPr>
      <w:r>
        <w:t xml:space="preserve">In August 2009, many members of the U.S. Congress used their summer recess to return to their home districts and hold town hall-style meetings to discuss President Obama’s proposed changes to the U.S. healthcare system. This was officially known as the</w:t>
      </w:r>
      <w:r>
        <w:t xml:space="preserve"> </w:t>
      </w:r>
      <w:bookmarkStart w:id="24" w:name="term-00001"/>
      <w:r>
        <w:t xml:space="preserve">Patient Protection and Affordable Care Act (PPACA)</w:t>
      </w:r>
      <w:bookmarkEnd w:id="24"/>
      <w:r>
        <w:t xml:space="preserve"> </w:t>
      </w:r>
      <w:r>
        <w:t xml:space="preserve">or as the</w:t>
      </w:r>
      <w:r>
        <w:t xml:space="preserve"> </w:t>
      </w:r>
      <w:bookmarkStart w:id="25" w:name="term-00002"/>
      <w:r>
        <w:t xml:space="preserve">Affordable Care Act (ACA)</w:t>
      </w:r>
      <w:bookmarkEnd w:id="25"/>
      <w:r>
        <w:t xml:space="preserve">, but was more popularly known as Obamacare. The bill’s opponents’ claims ranged from the charge that the changes were unconstitutional and would add $750 billion to the deficit, to extreme claims about the inclusion of things like the implantation of microchips and so-called “death panels” that decide which critically-ill patients receive care and which do not.</w:t>
      </w:r>
    </w:p>
    <w:p>
      <w:pPr>
        <w:pStyle w:val="NoteExampleGrey"/>
      </w:pPr>
      <w:r>
        <w:t xml:space="preserve">Why did people react so strongly? After all, the intent of the law is to make healthcare insurance more affordable, to allow more people to obtain insurance, and to reduce the costs of healthcare. For each year from 2000 to 2011, these costs grew at least double the rate of inflation. In 2014, healthcare spending accounted for around 24% of all federal government spending. In the United States, we spend more for our healthcare than any other high-income nation, yet our health outcomes are worse than comparable high-income countries. In 2015, over 32 million people in the United States, about 12.8% of the non-elderly adult population, were without insurance. Even today, however, more than a decade after the Act was signed into law and after the Supreme Court mostly upheld it, a 2022 Kaiser Foundation poll found that 42% of likely voters viewed it unfavorably. Why is this?</w:t>
      </w:r>
    </w:p>
    <w:p>
      <w:pPr>
        <w:pStyle w:val="NoteExampleGrey"/>
      </w:pPr>
      <w:r>
        <w:t xml:space="preserve">The debate over the ACA and healthcare reform could take an entire textbook, but what this chapter will do is introduce the basics of insurance and the problems insurance companies face. It is these problems, and how insurance companies respond to them that, in part, explain the divided opinion about the ACA.</w:t>
      </w:r>
    </w:p>
    <w:bookmarkEnd w:id="26"/>
    <w:p>
      <w:pPr>
        <w:pStyle w:val="TextBody"/>
      </w:pPr>
      <w:r>
        <w:t xml:space="preserve">Every purchase is based on a belief about the satisfaction that the good or service will provide. In turn, these beliefs are based on the information that the buyer has available. For many products, the information available to the buyer or the seller is imperfect or unclear, which can either make buyers regret past purchases or avoid making future ones.</w:t>
      </w:r>
    </w:p>
    <w:p>
      <w:pPr>
        <w:pStyle w:val="TextBody"/>
      </w:pPr>
      <w:r>
        <w:t xml:space="preserve">This chapter discusses how imperfect and asymmetric information affect markets. The first module of the chapter discusses how asymmetric information affects markets for goods, labor, and financial capital. When buyers have less information about the quality of the good (for example, a gemstone) than sellers do, sellers may be tempted to mislead buyers. If a buyer cannot have at least some confidence in the quality of what they are purchasing, then they will be reluctant or unwilling to purchase the products. Thus, we require mechanisms to bridge this information gap, so buyers and sellers can engage in a transaction.</w:t>
      </w:r>
    </w:p>
    <w:p>
      <w:pPr>
        <w:pStyle w:val="TextBody"/>
      </w:pPr>
      <w:r>
        <w:t xml:space="preserve">The second module of the chapter discusses insurance markets, which also face similar problems of imperfect information. For example, a car insurance company would prefer to sell insurance only to those who are unlikely to have auto accidents—but it is hard for the firm to identify those perfectly safe drivers. Conversely, car insurance buyers would like to persuade the auto insurance company that they are safe drivers and should pay only a low price for coverage. If insurance markets cannot find ways to grapple with these problems of imperfect information, then even people who have low or average risks of making claims may not be able to purchase insurance. The chapter on financial markets (markets for stocks and bonds) will show that the problems of imperfect information can be especially poignant. We cannot eliminate imperfect information, but we can often manage it.</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2023-01-13T15:44:24Z</dcterms:created>
  <dcterms:modified xsi:type="dcterms:W3CDTF">2023-01-13T15:44:24Z</dcterms:modified>
</cp:coreProperties>
</file>

<file path=docProps/custom.xml><?xml version="1.0" encoding="utf-8"?>
<Properties xmlns="http://schemas.openxmlformats.org/officeDocument/2006/custom-properties" xmlns:vt="http://schemas.openxmlformats.org/officeDocument/2006/docPropsVTypes"/>
</file>