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89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adverse selection</w:t>
      </w:r>
    </w:p>
    <w:p>
      <w:pPr>
        <w:pStyle w:val="Definition"/>
      </w:pPr>
      <w:r>
        <w:t xml:space="preserve">when groups with inherently higher risks than the average person seek out insurance, thus straining the insurance system</w:t>
      </w:r>
    </w:p>
    <w:p>
      <w:pPr>
        <w:pStyle w:val="DefinitionTerm"/>
      </w:pPr>
      <w:r>
        <w:t xml:space="preserve">asymmetric information</w:t>
      </w:r>
    </w:p>
    <w:p>
      <w:pPr>
        <w:pStyle w:val="Definition"/>
      </w:pPr>
      <w:r>
        <w:t xml:space="preserve">a situation where the seller or the buyer has more information than the other regarding the quality of the item for sale</w:t>
      </w:r>
    </w:p>
    <w:p>
      <w:pPr>
        <w:pStyle w:val="DefinitionTerm"/>
      </w:pPr>
      <w:r>
        <w:t xml:space="preserve">coinsurance</w:t>
      </w:r>
    </w:p>
    <w:p>
      <w:pPr>
        <w:pStyle w:val="Definition"/>
      </w:pPr>
      <w:r>
        <w:t xml:space="preserve">when an insurance policyholder pays a percentage of a loss, and the insurance company pays the remaining cost</w:t>
      </w:r>
    </w:p>
    <w:p>
      <w:pPr>
        <w:pStyle w:val="DefinitionTerm"/>
      </w:pPr>
      <w:r>
        <w:t xml:space="preserve">collateral</w:t>
      </w:r>
    </w:p>
    <w:p>
      <w:pPr>
        <w:pStyle w:val="Definition"/>
      </w:pPr>
      <w:r>
        <w:t xml:space="preserve">something valuable—often property or equipment—that a lender would have a right to seize and sell if the buyer does not repay the loan</w:t>
      </w:r>
    </w:p>
    <w:p>
      <w:pPr>
        <w:pStyle w:val="DefinitionTerm"/>
      </w:pPr>
      <w:r>
        <w:t xml:space="preserve">copayment</w:t>
      </w:r>
    </w:p>
    <w:p>
      <w:pPr>
        <w:pStyle w:val="Definition"/>
      </w:pPr>
      <w:r>
        <w:t xml:space="preserve">when an insurance policyholder must pay a small amount for each service, before insurance covers the rest</w:t>
      </w:r>
    </w:p>
    <w:p>
      <w:pPr>
        <w:pStyle w:val="DefinitionTerm"/>
      </w:pPr>
      <w:r>
        <w:t xml:space="preserve">cosigner</w:t>
      </w:r>
    </w:p>
    <w:p>
      <w:pPr>
        <w:pStyle w:val="Definition"/>
      </w:pPr>
      <w:r>
        <w:t xml:space="preserve">another person or firm who legally pledges to repay some or all of the money on a loan if the original borrower does not</w:t>
      </w:r>
    </w:p>
    <w:p>
      <w:pPr>
        <w:pStyle w:val="DefinitionTerm"/>
      </w:pPr>
      <w:r>
        <w:t xml:space="preserve">deductible</w:t>
      </w:r>
    </w:p>
    <w:p>
      <w:pPr>
        <w:pStyle w:val="Definition"/>
      </w:pPr>
      <w:r>
        <w:t xml:space="preserve">an amount that the insurance policyholders must pay out of their own pocket before the insurance coverage pays anything</w:t>
      </w:r>
    </w:p>
    <w:p>
      <w:pPr>
        <w:pStyle w:val="DefinitionTerm"/>
      </w:pPr>
      <w:r>
        <w:t xml:space="preserve">fee-for-service</w:t>
      </w:r>
    </w:p>
    <w:p>
      <w:pPr>
        <w:pStyle w:val="Definition"/>
      </w:pPr>
      <w:r>
        <w:t xml:space="preserve">when medical care providers are paid according to the services they provide</w:t>
      </w:r>
    </w:p>
    <w:p>
      <w:pPr>
        <w:pStyle w:val="DefinitionTerm"/>
      </w:pPr>
      <w:r>
        <w:t xml:space="preserve">health maintenance organization (HMO)</w:t>
      </w:r>
    </w:p>
    <w:p>
      <w:pPr>
        <w:pStyle w:val="Definition"/>
      </w:pPr>
      <w:r>
        <w:t xml:space="preserve">an organization that provides health care and is paid a fixed amount per person enrolled in the plan—regardless of how many services are provided</w:t>
      </w:r>
    </w:p>
    <w:p>
      <w:pPr>
        <w:pStyle w:val="DefinitionTerm"/>
      </w:pPr>
      <w:r>
        <w:t xml:space="preserve">imperfect information</w:t>
      </w:r>
    </w:p>
    <w:p>
      <w:pPr>
        <w:pStyle w:val="Definition"/>
      </w:pPr>
      <w:r>
        <w:t xml:space="preserve">a situation where either the buyer or the seller, or both, are uncertain about the qualities of what they are buying and selling</w:t>
      </w:r>
    </w:p>
    <w:p>
      <w:pPr>
        <w:pStyle w:val="DefinitionTerm"/>
      </w:pPr>
      <w:r>
        <w:t xml:space="preserve">insurance</w:t>
      </w:r>
    </w:p>
    <w:p>
      <w:pPr>
        <w:pStyle w:val="Definition"/>
      </w:pPr>
      <w:r>
        <w:t xml:space="preserve">method of protecting a person from financial loss, whereby policy holders make regular payments to an insurance entity; the insurance firm then remunerates a group member who suffers significant financial damage from an event covered by the policy</w:t>
      </w:r>
    </w:p>
    <w:p>
      <w:pPr>
        <w:pStyle w:val="DefinitionTerm"/>
      </w:pPr>
      <w:r>
        <w:t xml:space="preserve">money-back guarantee</w:t>
      </w:r>
    </w:p>
    <w:p>
      <w:pPr>
        <w:pStyle w:val="Definition"/>
      </w:pPr>
      <w:r>
        <w:t xml:space="preserve">a promise that the seller will refund the buyer’s money under certain conditions</w:t>
      </w:r>
    </w:p>
    <w:p>
      <w:pPr>
        <w:pStyle w:val="DefinitionTerm"/>
      </w:pPr>
      <w:r>
        <w:t xml:space="preserve">moral hazard</w:t>
      </w:r>
    </w:p>
    <w:p>
      <w:pPr>
        <w:pStyle w:val="Definition"/>
      </w:pPr>
      <w:r>
        <w:t xml:space="preserve">when people have insurance against a certain event, they are less likely to guard against that event occurring</w:t>
      </w:r>
    </w:p>
    <w:p>
      <w:pPr>
        <w:pStyle w:val="DefinitionTerm"/>
      </w:pPr>
      <w:r>
        <w:t xml:space="preserve">occupational license</w:t>
      </w:r>
    </w:p>
    <w:p>
      <w:pPr>
        <w:pStyle w:val="Definition"/>
      </w:pPr>
      <w:r>
        <w:t xml:space="preserve">licenses issued by government agencies, which indicate that a worker has completed a certain type of education or passed a certain test</w:t>
      </w:r>
    </w:p>
    <w:p>
      <w:pPr>
        <w:pStyle w:val="DefinitionTerm"/>
      </w:pPr>
      <w:r>
        <w:t xml:space="preserve">premium</w:t>
      </w:r>
    </w:p>
    <w:p>
      <w:pPr>
        <w:pStyle w:val="Definition"/>
      </w:pPr>
      <w:r>
        <w:t xml:space="preserve">payment made to an insurance company</w:t>
      </w:r>
    </w:p>
    <w:p>
      <w:pPr>
        <w:pStyle w:val="DefinitionTerm"/>
      </w:pPr>
      <w:r>
        <w:t xml:space="preserve">risk group</w:t>
      </w:r>
    </w:p>
    <w:p>
      <w:pPr>
        <w:pStyle w:val="Definition"/>
      </w:pPr>
      <w:r>
        <w:t xml:space="preserve">a group that shares roughly the same risks of an adverse event occurring</w:t>
      </w:r>
    </w:p>
    <w:p>
      <w:pPr>
        <w:pStyle w:val="DefinitionTerm"/>
      </w:pPr>
      <w:r>
        <w:t xml:space="preserve">service contract</w:t>
      </w:r>
    </w:p>
    <w:p>
      <w:pPr>
        <w:pStyle w:val="Definition"/>
      </w:pPr>
      <w:r>
        <w:t xml:space="preserve">the buyer pays an extra amount and the seller agrees to fix anything specified in the contract that goes wrong for a set time period</w:t>
      </w:r>
    </w:p>
    <w:p>
      <w:pPr>
        <w:pStyle w:val="DefinitionTerm"/>
      </w:pPr>
      <w:r>
        <w:t xml:space="preserve">warranty</w:t>
      </w:r>
    </w:p>
    <w:p>
      <w:pPr>
        <w:pStyle w:val="Definition"/>
      </w:pPr>
      <w:r>
        <w:t xml:space="preserve">a promise to fix or replace the good for a certain period of time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2023-01-13T15:44:37Z</dcterms:created>
  <dcterms:modified xsi:type="dcterms:W3CDTF">2023-01-13T15:44:37Z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