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c1b2dc2fe2aa23236962cdb0c349bce41ab474"/>
    <w:p>
      <w:pPr>
        <w:pStyle w:val="Figure"/>
      </w:pPr>
      <w:bookmarkStart w:id="21" w:name="Xa4b9237bacccdf19c0760cab7aec4a8359010b0"/>
      <w:r>
        <w:drawing>
          <wp:inline>
            <wp:extent cx="5943600" cy="3383279"/>
            <wp:effectExtent b="0" l="0" r="0" t="0"/>
            <wp:docPr descr="" title="" id="1" name="Picture"/>
            <a:graphic>
              <a:graphicData uri="http://schemas.openxmlformats.org/drawingml/2006/picture">
                <pic:pic>
                  <pic:nvPicPr>
                    <pic:cNvPr descr="../resources/bf89f4f361a2e3e16d678881c6e9ba4e322a04b1" id="0" name="Picture"/>
                    <pic:cNvPicPr>
                      <a:picLocks noChangeArrowheads="1" noChangeAspect="1"/>
                    </pic:cNvPicPr>
                  </pic:nvPicPr>
                  <pic:blipFill>
                    <a:blip r:embed="rId20"/>
                    <a:stretch>
                      <a:fillRect/>
                    </a:stretch>
                  </pic:blipFill>
                  <pic:spPr bwMode="auto">
                    <a:xfrm>
                      <a:off x="0" y="0"/>
                      <a:ext cx="5943600" cy="3383279"/>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6.1</w:t>
      </w:r>
      <w:r>
        <w:t xml:space="preserve"> </w:t>
      </w:r>
      <w:r>
        <w:t xml:space="preserve"> </w:t>
      </w:r>
      <w:r>
        <w:t xml:space="preserve"> </w:t>
      </w:r>
      <w:bookmarkStart w:id="22" w:name="X56a192b7913b04c54574d18c28d46e6395428ab"/>
      <w:r>
        <w:t xml:space="preserve">Investment Choices</w:t>
      </w:r>
      <w:r>
        <w:t xml:space="preserve"> </w:t>
      </w:r>
      <w:bookmarkEnd w:id="22"/>
      <w:r>
        <w:t xml:space="preserve"> </w:t>
      </w:r>
      <w:r>
        <w:t xml:space="preserve"> </w:t>
      </w:r>
      <w:r>
        <w:t xml:space="preserve"> </w:t>
      </w:r>
      <w:r>
        <w:t xml:space="preserve">We generally view higher education as a good investment, if one can afford it, regardless of the state of the economy. (Credit: modification of “Commencement” by roanokecollege/Flickr, CC BY 2.0)</w:t>
      </w:r>
    </w:p>
    <w:bookmarkStart w:id="23" w:name="fs-idm9283792"/>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Consumption Choices</w:t>
      </w:r>
    </w:p>
    <w:p>
      <w:pPr>
        <w:numPr>
          <w:ilvl w:val="0"/>
          <w:numId w:val="1001"/>
        </w:numPr>
        <w:pStyle w:val="Compact"/>
      </w:pPr>
      <w:r>
        <w:t xml:space="preserve">How Changes in Income and Prices Affect Consumption Choices</w:t>
      </w:r>
    </w:p>
    <w:p>
      <w:pPr>
        <w:numPr>
          <w:ilvl w:val="0"/>
          <w:numId w:val="1001"/>
        </w:numPr>
        <w:pStyle w:val="Compact"/>
      </w:pPr>
      <w:r>
        <w:t xml:space="preserve">How Consumer Choices Might Not Always be Rational</w:t>
      </w:r>
    </w:p>
    <w:bookmarkEnd w:id="23"/>
    <w:bookmarkStart w:id="27" w:name="X481f26ceab977b06eb378d21a52887b96c4f5cd"/>
    <w:p>
      <w:pPr>
        <w:pStyle w:val="Heading2"/>
      </w:pPr>
      <w:r>
        <w:t xml:space="preserve">Introduction to Consumer Choices</w:t>
      </w:r>
    </w:p>
    <w:bookmarkStart w:id="24" w:name="fs-idp8512832"/>
    <w:p>
      <w:pPr>
        <w:pStyle w:val="Heading3Grey"/>
      </w:pPr>
      <w:r>
        <w:t xml:space="preserve">Bring It Home</w:t>
      </w:r>
    </w:p>
    <w:p>
      <w:pPr>
        <w:pStyle w:val="Heading4Grey"/>
      </w:pPr>
      <w:r>
        <w:t xml:space="preserve">Making Choices</w:t>
      </w:r>
    </w:p>
    <w:p>
      <w:pPr>
        <w:pStyle w:val="NoteExampleGrey"/>
      </w:pPr>
      <w:r>
        <w:t xml:space="preserve">The 2008–2009 Great Recession touched families around the globe. In too many countries, workers found themselves out of a job. In developed countries, unemployment compensation provided a safety net, but families still saw a marked decrease in disposable income and had to make tough spending decisions. Of course, non-essential, discretionary spending was the first to go.</w:t>
      </w:r>
    </w:p>
    <w:p>
      <w:pPr>
        <w:pStyle w:val="NoteExampleGrey"/>
      </w:pPr>
      <w:r>
        <w:t xml:space="preserve">Even so, there was one particular category that saw a universal increase in spending world-wide during that time—an 18% uptick in the United States, specifically. You might guess that consumers began eating more meals at home, increasing grocery store spending; however, the Bureau of Labor Statistics’ Consumer Expenditure Survey, which tracks U.S. food spending over time, showed “real total food spending by U.S. households declined five percent between 2006 and 2009.” So, it was not groceries. What product would people around the world demand more of during tough economic times, and more importantly, why? (Find out at chapter’s end.)</w:t>
      </w:r>
    </w:p>
    <w:p>
      <w:pPr>
        <w:pStyle w:val="NoteExampleGrey"/>
      </w:pPr>
      <w:r>
        <w:t xml:space="preserve">That question leads us to this chapter’s topic—analyzing how consumers make choices and how changes affect those choices. For instance, do changes in prices matter more or less than changes in a consumer’s income? Can a small change in circumstances alter the consumers’ perception of a product or even of their own resources? While many choices may seem straightforward, there is often much more to consider.</w:t>
      </w:r>
    </w:p>
    <w:bookmarkEnd w:id="24"/>
    <w:p>
      <w:pPr>
        <w:pStyle w:val="TextBody"/>
      </w:pPr>
      <w:r>
        <w:t xml:space="preserve">Microeconomics seeks to understand the behavior of individual economic agents such as individuals and businesses. Economists believe that we can analyze individuals’ decisions, such as what goods and services to buy, as choices we make within certain budget constraints. Generally, consumers are trying to get the most for their limited budget. In economic terms they are trying to maximize total utility, or satisfaction, given their budget constraint.</w:t>
      </w:r>
    </w:p>
    <w:p>
      <w:pPr>
        <w:pStyle w:val="TextBody"/>
      </w:pPr>
      <w:r>
        <w:t xml:space="preserve">Everyone has their own personal tastes and preferences. The French say:</w:t>
      </w:r>
      <w:r>
        <w:t xml:space="preserve"> </w:t>
      </w:r>
      <w:r>
        <w:rPr>
          <w:iCs/>
          <w:i/>
        </w:rPr>
        <w:t xml:space="preserve">Chacun à son goût</w:t>
      </w:r>
      <w:r>
        <w:t xml:space="preserve">, or “Each to his own taste.” An old Latin saying states,</w:t>
      </w:r>
      <w:r>
        <w:t xml:space="preserve"> </w:t>
      </w:r>
      <w:r>
        <w:rPr>
          <w:iCs/>
          <w:i/>
        </w:rPr>
        <w:t xml:space="preserve">De gustibus non est disputandum</w:t>
      </w:r>
      <w:r>
        <w:t xml:space="preserve"> </w:t>
      </w:r>
      <w:r>
        <w:t xml:space="preserve">or “There’s no disputing about taste.” If people base their decisions on their own tastes and personal preferences, however, then how can economists hope to analyze the choices consumers make?</w:t>
      </w:r>
    </w:p>
    <w:p>
      <w:pPr>
        <w:pStyle w:val="TextBody"/>
      </w:pPr>
      <w:r>
        <w:t xml:space="preserve">An economic explanation for why people make different choices begins with accepting the proverbial wisdom that tastes are a matter of personal preference. However, economists also believe that the choices people make are influenced by their incomes, by the prices of goods and services they consume, and by factors like where they live. This chapter introduces the economic theory of how consumers make choices about what goods and services to buy with their limited income.</w:t>
      </w:r>
    </w:p>
    <w:p>
      <w:pPr>
        <w:pStyle w:val="TextBody"/>
      </w:pPr>
      <w:r>
        <w:t xml:space="preserve">The analysis in this chapter will build on the budget constraint that we introduced in the</w:t>
      </w:r>
      <w:r>
        <w:t xml:space="preserve"> </w:t>
      </w:r>
      <w:hyperlink r:id="rId25">
        <w:r>
          <w:rPr>
            <w:rStyle w:val="InternetLink"/>
          </w:rPr>
          <w:t xml:space="preserve">Choice in a World of Scarcity</w:t>
        </w:r>
      </w:hyperlink>
      <w:r>
        <w:t xml:space="preserve"> </w:t>
      </w:r>
      <w:r>
        <w:t xml:space="preserve">chapter. This chapter will also illustrate how economic theory provides a tool to systematically look at the full range of possible consumption choices to predict how consumption responds to changes in prices or incomes. After reading this chapter, consult the appendix</w:t>
      </w:r>
      <w:r>
        <w:t xml:space="preserve"> </w:t>
      </w:r>
      <w:hyperlink r:id="rId26">
        <w:r>
          <w:rPr>
            <w:rStyle w:val="InternetLink"/>
          </w:rPr>
          <w:t xml:space="preserve">Indifference Curves</w:t>
        </w:r>
      </w:hyperlink>
      <w:r>
        <w:t xml:space="preserve"> </w:t>
      </w:r>
      <w:r>
        <w:t xml:space="preserve">to learn more about representing utility and choice through indifference curves.</w:t>
      </w:r>
    </w:p>
    <w:bookmarkEnd w:id="27"/>
    <w:bookmarkEnd w:id="2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hyperlink" Id="rId25" Target="http://openstax.org/books/principles-microeconomics-3e/pages/2-introduction-to-choice-in-a-world-of-scarcity" TargetMode="External" /><Relationship Type="http://schemas.openxmlformats.org/officeDocument/2006/relationships/hyperlink" Id="rId26" Target="http://openstax.org/books/principles-microeconomics-3e/pages/b-indifference-curve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5" Target="http://openstax.org/books/principles-microeconomics-3e/pages/2-introduction-to-choice-in-a-world-of-scarcity" TargetMode="External" /><Relationship Type="http://schemas.openxmlformats.org/officeDocument/2006/relationships/hyperlink" Id="rId26" Target="http://openstax.org/books/principles-microeconomics-3e/pages/b-indifference-curv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2023-01-13T15:43:44Z</dcterms:created>
  <dcterms:modified xsi:type="dcterms:W3CDTF">2023-01-13T15:43:44Z</dcterms:modified>
</cp:coreProperties>
</file>

<file path=docProps/custom.xml><?xml version="1.0" encoding="utf-8"?>
<Properties xmlns="http://schemas.openxmlformats.org/officeDocument/2006/custom-properties" xmlns:vt="http://schemas.openxmlformats.org/officeDocument/2006/docPropsVTypes"/>
</file>