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Case-study blog: Ameristar Council Bluffs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Three days. Floor never closed. Control on land.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weighing a retrofit they cannot take dark.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Live case study at /resources/case-studies/ameristar-council-bluffs. Signal Issue 01 field story “Three days to a future-ready platform” is the ancestor. </w:t>
      </w:r>
      <w:r>
        <w:rPr>
          <w:rFonts w:ascii="Calibri" w:hAnsi="Calibri"/>
          <w:b/>
          <w:color w:val="0A161C"/>
          <w:sz w:val="22"/>
        </w:rPr>
        <w:t>Do not rewrite the case-study page.</w:t>
      </w:r>
      <w:r>
        <w:rPr>
          <w:rFonts w:ascii="Calibri" w:hAnsi="Calibri"/>
          <w:b w:val="0"/>
          <w:color w:val="0A161C"/>
          <w:sz w:val="22"/>
        </w:rPr>
        <w:t xml:space="preserve"> This blog is a door to it.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Read the Ameristar case study, then book a walkthrough.</w:t>
      </w:r>
    </w:p>
    <w:p/>
    <w:p>
      <w:r>
        <w:t>**Cover (only facts already public on that page):**</w:t>
      </w:r>
    </w:p>
    <w:p>
      <w:pPr>
        <w:pStyle w:val="ListBullet"/>
      </w:pPr>
      <w:r>
        <w:rPr>
          <w:rFonts w:ascii="Calibri" w:hAnsi="Calibri"/>
          <w:sz w:val="22"/>
        </w:rPr>
        <w:t>Ameristar Council Bluffs, Council Bluffs, Iowa.</w:t>
      </w:r>
    </w:p>
    <w:p>
      <w:pPr>
        <w:pStyle w:val="ListBullet"/>
      </w:pPr>
      <w:r>
        <w:rPr>
          <w:rFonts w:ascii="Calibri" w:hAnsi="Calibri"/>
          <w:sz w:val="22"/>
        </w:rPr>
        <w:t>Full A/V retrofit in under three days. Floor never closed.</w:t>
      </w:r>
    </w:p>
    <w:p>
      <w:pPr>
        <w:pStyle w:val="ListBullet"/>
      </w:pPr>
      <w:r>
        <w:rPr>
          <w:rFonts w:ascii="Calibri" w:hAnsi="Calibri"/>
          <w:sz w:val="22"/>
        </w:rPr>
        <w:t>Processing that had lived on the riverboat moved into the IT data center on land.</w:t>
      </w:r>
    </w:p>
    <w:p>
      <w:pPr>
        <w:pStyle w:val="ListBullet"/>
      </w:pPr>
      <w:r>
        <w:rPr>
          <w:rFonts w:ascii="Calibri" w:hAnsi="Calibri"/>
          <w:sz w:val="22"/>
        </w:rPr>
        <w:t>The boat can retire as a clean break; new buildout plugs into the platform already running.</w:t>
      </w:r>
    </w:p>
    <w:p>
      <w:pPr>
        <w:pStyle w:val="ListBullet"/>
      </w:pPr>
      <w:r>
        <w:rPr>
          <w:rFonts w:ascii="Calibri" w:hAnsi="Calibri"/>
          <w:sz w:val="22"/>
        </w:rPr>
        <w:t>Quote already on the page: “Well done, LUCI team! This was the best installation — so seamless.” Facilities Manager.</w:t>
      </w:r>
    </w:p>
    <w:p>
      <w:pPr>
        <w:pStyle w:val="ListBullet"/>
      </w:pPr>
      <w:r>
        <w:rPr>
          <w:rFonts w:ascii="Calibri" w:hAnsi="Calibri"/>
          <w:sz w:val="22"/>
        </w:rPr>
        <w:t>LUCI works with the property’s A/V. Do not write that LUCI replaced the stack.</w:t>
      </w:r>
    </w:p>
    <w:p/>
    <w:p>
      <w:r>
        <w:rPr>
          <w:rFonts w:ascii="Calibri" w:hAnsi="Calibri"/>
          <w:b/>
          <w:color w:val="0A161C"/>
          <w:sz w:val="22"/>
        </w:rPr>
        <w:t>Do not use:</w:t>
      </w:r>
      <w:r>
        <w:rPr>
          <w:rFonts w:ascii="Calibri" w:hAnsi="Calibri"/>
          <w:b w:val="0"/>
          <w:color w:val="0A161C"/>
          <w:sz w:val="22"/>
        </w:rPr>
        <w:t xml:space="preserve"> new numbers, partner names, Aliante, “largest,” New LUCI splash.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