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Wave 1 — Case-study blog: Sam’s Town</w:t>
      </w:r>
    </w:p>
    <w:p/>
    <w:p>
      <w:r>
        <w:rPr>
          <w:rFonts w:ascii="Calibri" w:hAnsi="Calibri"/>
          <w:b/>
          <w:color w:val="0A161C"/>
          <w:sz w:val="22"/>
        </w:rPr>
        <w:t>Topic:</w:t>
      </w:r>
      <w:r>
        <w:rPr>
          <w:rFonts w:ascii="Calibri" w:hAnsi="Calibri"/>
          <w:b w:val="0"/>
          <w:color w:val="0A161C"/>
          <w:sz w:val="22"/>
        </w:rPr>
        <w:t xml:space="preserve"> A wall that big, on the platform already running the house.</w:t>
      </w:r>
    </w:p>
    <w:p>
      <w:r>
        <w:rPr>
          <w:rFonts w:ascii="Calibri" w:hAnsi="Calibri"/>
          <w:b/>
          <w:color w:val="0A161C"/>
          <w:sz w:val="22"/>
        </w:rPr>
        <w:t>Persona:</w:t>
      </w:r>
      <w:r>
        <w:rPr>
          <w:rFonts w:ascii="Calibri" w:hAnsi="Calibri"/>
          <w:b w:val="0"/>
          <w:color w:val="0A161C"/>
          <w:sz w:val="22"/>
        </w:rPr>
        <w:t xml:space="preserve"> Prospects who already have something installed and are afraid the next wall means a second system.</w:t>
      </w:r>
    </w:p>
    <w:p>
      <w:r>
        <w:rPr>
          <w:rFonts w:ascii="Calibri" w:hAnsi="Calibri"/>
          <w:b/>
          <w:color w:val="0A161C"/>
          <w:sz w:val="22"/>
        </w:rPr>
        <w:t>Source:</w:t>
      </w:r>
      <w:r>
        <w:rPr>
          <w:rFonts w:ascii="Calibri" w:hAnsi="Calibri"/>
          <w:b w:val="0"/>
          <w:color w:val="0A161C"/>
          <w:sz w:val="22"/>
        </w:rPr>
        <w:t xml:space="preserve"> Live case study at /resources/case-studies/sams-town. Signal Issue 03 field story. </w:t>
      </w:r>
      <w:r>
        <w:rPr>
          <w:rFonts w:ascii="Calibri" w:hAnsi="Calibri"/>
          <w:b/>
          <w:color w:val="0A161C"/>
          <w:sz w:val="22"/>
        </w:rPr>
        <w:t>Do not rewrite the case-study page.</w:t>
      </w:r>
      <w:r>
        <w:rPr>
          <w:rFonts w:ascii="Calibri" w:hAnsi="Calibri"/>
          <w:b w:val="0"/>
          <w:color w:val="0A161C"/>
          <w:sz w:val="22"/>
        </w:rPr>
        <w:t xml:space="preserve"> This blog is a door to it.</w:t>
      </w:r>
    </w:p>
    <w:p>
      <w:r>
        <w:rPr>
          <w:rFonts w:ascii="Calibri" w:hAnsi="Calibri"/>
          <w:b/>
          <w:color w:val="0A161C"/>
          <w:sz w:val="22"/>
        </w:rPr>
        <w:t>CTA:</w:t>
      </w:r>
      <w:r>
        <w:rPr>
          <w:rFonts w:ascii="Calibri" w:hAnsi="Calibri"/>
          <w:b w:val="0"/>
          <w:color w:val="0A161C"/>
          <w:sz w:val="22"/>
        </w:rPr>
        <w:t xml:space="preserve"> Read the Sam’s Town case study, then book a walkthrough.</w:t>
      </w:r>
    </w:p>
    <w:p/>
    <w:p>
      <w:r>
        <w:t>**Cover (only facts already public on that page):**</w:t>
      </w:r>
    </w:p>
    <w:p>
      <w:pPr>
        <w:pStyle w:val="ListBullet"/>
      </w:pPr>
      <w:r>
        <w:rPr>
          <w:rFonts w:ascii="Calibri" w:hAnsi="Calibri"/>
          <w:sz w:val="22"/>
        </w:rPr>
        <w:t>Sam’s Town Hotel &amp; Gambling Hall, Las Vegas.</w:t>
      </w:r>
    </w:p>
    <w:p>
      <w:pPr>
        <w:pStyle w:val="ListBullet"/>
      </w:pPr>
      <w:r>
        <w:rPr>
          <w:rFonts w:ascii="Calibri" w:hAnsi="Calibri"/>
          <w:sz w:val="22"/>
        </w:rPr>
        <w:t>One 480-square-foot LED in place of mismatched TVs.</w:t>
      </w:r>
    </w:p>
    <w:p>
      <w:pPr>
        <w:pStyle w:val="ListBullet"/>
      </w:pPr>
      <w:r>
        <w:rPr>
          <w:rFonts w:ascii="Calibri" w:hAnsi="Calibri"/>
          <w:sz w:val="22"/>
        </w:rPr>
        <w:t>Looped into the same platform already running Sam’s Town. Nothing for staff to relearn. No second system.</w:t>
      </w:r>
    </w:p>
    <w:p>
      <w:pPr>
        <w:pStyle w:val="ListBullet"/>
      </w:pPr>
      <w:r>
        <w:rPr>
          <w:rFonts w:ascii="Calibri" w:hAnsi="Calibri"/>
          <w:sz w:val="22"/>
        </w:rPr>
        <w:t>LUCI works with what was there. Do not write replace.</w:t>
      </w:r>
    </w:p>
    <w:p/>
    <w:p>
      <w:r>
        <w:rPr>
          <w:rFonts w:ascii="Calibri" w:hAnsi="Calibri"/>
          <w:b/>
          <w:color w:val="0A161C"/>
          <w:sz w:val="22"/>
        </w:rPr>
        <w:t>Do not use:</w:t>
      </w:r>
      <w:r>
        <w:rPr>
          <w:rFonts w:ascii="Calibri" w:hAnsi="Calibri"/>
          <w:b w:val="0"/>
          <w:color w:val="0A161C"/>
          <w:sz w:val="22"/>
        </w:rPr>
        <w:t xml:space="preserve"> new numbers, partner names, Aliante, “largest in Las Vegas,” New LUCI splash.</w:t>
      </w:r>
    </w:p>
    <w:p/>
    <w:p>
      <w:r>
        <w:t>Constraints for every piece</w:t>
      </w:r>
    </w:p>
    <w:p>
      <w:pPr>
        <w:pStyle w:val="ListBullet"/>
      </w:pPr>
      <w:r>
        <w:rPr>
          <w:rFonts w:ascii="Calibri" w:hAnsi="Calibri"/>
          <w:sz w:val="22"/>
        </w:rPr>
        <w:t>Readers are new prospects (property A/V, IT, ops leadership). Not a customer operating manual.</w:t>
      </w:r>
    </w:p>
    <w:p>
      <w:pPr>
        <w:pStyle w:val="ListBullet"/>
      </w:pPr>
      <w:r>
        <w:rPr>
          <w:rFonts w:ascii="Calibri" w:hAnsi="Calibri"/>
          <w:sz w:val="22"/>
        </w:rPr>
        <w:t>Always write A/V.</w:t>
      </w:r>
    </w:p>
    <w:p>
      <w:pPr>
        <w:pStyle w:val="ListBullet"/>
      </w:pPr>
      <w:r>
        <w:rPr>
          <w:rFonts w:ascii="Calibri" w:hAnsi="Calibri"/>
          <w:sz w:val="22"/>
        </w:rPr>
        <w:t>LUCI works with and absorbs the systems already on the floor. It does not replace them. Do not name partners. Never call LUCI a layer.</w:t>
      </w:r>
    </w:p>
    <w:p>
      <w:pPr>
        <w:pStyle w:val="ListBullet"/>
      </w:pPr>
      <w:r>
        <w:rPr>
          <w:rFonts w:ascii="Calibri" w:hAnsi="Calibri"/>
          <w:sz w:val="22"/>
        </w:rPr>
        <w:t>New LUCI is beta, property by property. Not a public splash. Do not write “we launched.”</w:t>
      </w:r>
    </w:p>
    <w:p>
      <w:pPr>
        <w:pStyle w:val="ListBullet"/>
      </w:pPr>
      <w:r>
        <w:rPr>
          <w:rFonts w:ascii="Calibri" w:hAnsi="Calibri"/>
          <w:sz w:val="22"/>
        </w:rPr>
        <w:t>Do not invent ROI, percentages, or extra stats. Only facts in this brief.</w:t>
      </w:r>
    </w:p>
    <w:p>
      <w:pPr>
        <w:pStyle w:val="ListBullet"/>
      </w:pPr>
      <w:r>
        <w:rPr>
          <w:rFonts w:ascii="Calibri" w:hAnsi="Calibri"/>
          <w:sz w:val="22"/>
        </w:rPr>
        <w:t>Never write the word “easy.” If a teaser shows the move, show the move.</w:t>
      </w:r>
    </w:p>
    <w:p>
      <w:pPr>
        <w:pStyle w:val="ListBullet"/>
      </w:pPr>
      <w:r>
        <w:rPr>
          <w:rFonts w:ascii="Calibri" w:hAnsi="Calibri"/>
          <w:sz w:val="22"/>
        </w:rPr>
        <w:t>Named properties only if this brief names them. Do not add others.</w:t>
      </w:r>
    </w:p>
    <w:p>
      <w:pPr>
        <w:pStyle w:val="ListBullet"/>
      </w:pPr>
      <w:r>
        <w:rPr>
          <w:rFonts w:ascii="Calibri" w:hAnsi="Calibri"/>
          <w:sz w:val="22"/>
        </w:rPr>
        <w:t>Institutional voice. Short. LUCI is the means, not the hero speech.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