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Case-study blog: Tachi Palace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Eight LED walls. One week. A foundation for the rest of the resort.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need a room done now, and a path for the rest of the property later.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Live case study at /resources/case-studies/tachi-palace. Signal Issue 02 “Eight LED walls.” </w:t>
      </w:r>
      <w:r>
        <w:rPr>
          <w:rFonts w:ascii="Calibri" w:hAnsi="Calibri"/>
          <w:b/>
          <w:color w:val="0A161C"/>
          <w:sz w:val="22"/>
        </w:rPr>
        <w:t>Do not rewrite the case-study page.</w:t>
      </w:r>
      <w:r>
        <w:rPr>
          <w:rFonts w:ascii="Calibri" w:hAnsi="Calibri"/>
          <w:b w:val="0"/>
          <w:color w:val="0A161C"/>
          <w:sz w:val="22"/>
        </w:rPr>
        <w:t xml:space="preserve"> This blog is a door to it.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Read the Tachi Palace case study, then book a walkthrough.</w:t>
      </w:r>
    </w:p>
    <w:p/>
    <w:p>
      <w:r>
        <w:t>**Cover (only facts already public on that page):**</w:t>
      </w:r>
    </w:p>
    <w:p>
      <w:pPr>
        <w:pStyle w:val="ListBullet"/>
      </w:pPr>
      <w:r>
        <w:rPr>
          <w:rFonts w:ascii="Calibri" w:hAnsi="Calibri"/>
          <w:sz w:val="22"/>
        </w:rPr>
        <w:t>Tachi Palace Casino Resort, Lemoore, California.</w:t>
      </w:r>
    </w:p>
    <w:p>
      <w:pPr>
        <w:pStyle w:val="ListBullet"/>
      </w:pPr>
      <w:r>
        <w:rPr>
          <w:rFonts w:ascii="Calibri" w:hAnsi="Calibri"/>
          <w:sz w:val="22"/>
        </w:rPr>
        <w:t>Bingo hall in one week: eight LED video walls, audio zones, immersive bingo, one interface.</w:t>
      </w:r>
    </w:p>
    <w:p>
      <w:pPr>
        <w:pStyle w:val="ListBullet"/>
      </w:pPr>
      <w:r>
        <w:rPr>
          <w:rFonts w:ascii="Calibri" w:hAnsi="Calibri"/>
          <w:sz w:val="22"/>
        </w:rPr>
        <w:t>Foundation for the rest of the resort — growth, not a one-off room.</w:t>
      </w:r>
    </w:p>
    <w:p>
      <w:pPr>
        <w:pStyle w:val="ListBullet"/>
      </w:pPr>
      <w:r>
        <w:rPr>
          <w:rFonts w:ascii="Calibri" w:hAnsi="Calibri"/>
          <w:sz w:val="22"/>
        </w:rPr>
        <w:t>LUCI sits with the A/V already in the building. Do not write replace.</w:t>
      </w:r>
    </w:p>
    <w:p/>
    <w:p>
      <w:r>
        <w:rPr>
          <w:rFonts w:ascii="Calibri" w:hAnsi="Calibri"/>
          <w:b/>
          <w:color w:val="0A161C"/>
          <w:sz w:val="22"/>
        </w:rPr>
        <w:t>Do not use:</w:t>
      </w:r>
      <w:r>
        <w:rPr>
          <w:rFonts w:ascii="Calibri" w:hAnsi="Calibri"/>
          <w:b w:val="0"/>
          <w:color w:val="0A161C"/>
          <w:sz w:val="22"/>
        </w:rPr>
        <w:t xml:space="preserve"> new numbers, partner names, Aliante, New LUCI splash.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