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1 — Case-study blog: Yaamava’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Everything on the property. One interface.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at whole-resort scale who think one interface is a slogan.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Live case study at /resources/case-studies/yaamava. </w:t>
      </w:r>
      <w:r>
        <w:rPr>
          <w:rFonts w:ascii="Calibri" w:hAnsi="Calibri"/>
          <w:b/>
          <w:color w:val="0A161C"/>
          <w:sz w:val="22"/>
        </w:rPr>
        <w:t>Do not rewrite the case-study page.</w:t>
      </w:r>
      <w:r>
        <w:rPr>
          <w:rFonts w:ascii="Calibri" w:hAnsi="Calibri"/>
          <w:b w:val="0"/>
          <w:color w:val="0A161C"/>
          <w:sz w:val="22"/>
        </w:rPr>
        <w:t xml:space="preserve"> This blog is a door to it.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Read the Yaamava’ case study, then book a walkthrough.</w:t>
      </w:r>
    </w:p>
    <w:p/>
    <w:p>
      <w:r>
        <w:t>**Cover (only facts already public on that page):**</w:t>
      </w:r>
    </w:p>
    <w:p>
      <w:pPr>
        <w:pStyle w:val="ListBullet"/>
      </w:pPr>
      <w:r>
        <w:rPr>
          <w:rFonts w:ascii="Calibri" w:hAnsi="Calibri"/>
          <w:sz w:val="22"/>
        </w:rPr>
        <w:t>Yaamava’ Resort &amp; Casino, Highland, California.</w:t>
      </w:r>
    </w:p>
    <w:p>
      <w:pPr>
        <w:pStyle w:val="ListBullet"/>
      </w:pPr>
      <w:r>
        <w:rPr>
          <w:rFonts w:ascii="Calibri" w:hAnsi="Calibri"/>
          <w:sz w:val="22"/>
        </w:rPr>
        <w:t>Broadcast content, signage, audio, data, and displays on one platform.</w:t>
      </w:r>
    </w:p>
    <w:p>
      <w:pPr>
        <w:pStyle w:val="ListBullet"/>
      </w:pPr>
      <w:r>
        <w:rPr>
          <w:rFonts w:ascii="Calibri" w:hAnsi="Calibri"/>
          <w:sz w:val="22"/>
        </w:rPr>
        <w:t>34 LED walls across seven venues, online inside that same interface.</w:t>
      </w:r>
    </w:p>
    <w:p>
      <w:pPr>
        <w:pStyle w:val="ListBullet"/>
      </w:pPr>
      <w:r>
        <w:rPr>
          <w:rFonts w:ascii="Calibri" w:hAnsi="Calibri"/>
          <w:sz w:val="22"/>
        </w:rPr>
        <w:t>A 290,000-square-foot resort run from a single interface.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those systems. Do not write replace. Do not name partners.</w:t>
      </w:r>
    </w:p>
    <w:p/>
    <w:p>
      <w:r>
        <w:rPr>
          <w:rFonts w:ascii="Calibri" w:hAnsi="Calibri"/>
          <w:b/>
          <w:color w:val="0A161C"/>
          <w:sz w:val="22"/>
        </w:rPr>
        <w:t>Do not use:</w:t>
      </w:r>
      <w:r>
        <w:rPr>
          <w:rFonts w:ascii="Calibri" w:hAnsi="Calibri"/>
          <w:b w:val="0"/>
          <w:color w:val="0A161C"/>
          <w:sz w:val="22"/>
        </w:rPr>
        <w:t xml:space="preserve"> new numbers, Aliante, New LUCI splash.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