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Checklist: will the next wall join the house?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The next install either lands on what already runs the property, or it starts a second stack.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about to add a wall, a sportsbook, a room — afraid the new piece is a new system.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Sam’s Town (wall on the platform already running) and the consolidation argument. Public proof points at the live case-study pages. Not Aliante. Not a LUCI install how-to.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 before the next wall is bid as a separate island.</w:t>
      </w:r>
    </w:p>
    <w:p/>
    <w:p>
      <w:r>
        <w:rPr>
          <w:rFonts w:ascii="Calibri" w:hAnsi="Calibri"/>
          <w:b/>
          <w:color w:val="0A161C"/>
          <w:sz w:val="22"/>
        </w:rPr>
        <w:t>Cover:</w:t>
      </w:r>
    </w:p>
    <w:p>
      <w:pPr>
        <w:pStyle w:val="ListBullet"/>
      </w:pPr>
      <w:r>
        <w:rPr>
          <w:rFonts w:ascii="Calibri" w:hAnsi="Calibri"/>
          <w:sz w:val="22"/>
        </w:rPr>
        <w:t>Questions before the PO: does this room use the same sources, the same looks, the same people as the rest of the floor? If yes, a second console is the failure.</w:t>
      </w:r>
    </w:p>
    <w:p>
      <w:pPr>
        <w:pStyle w:val="ListBullet"/>
      </w:pPr>
      <w:r>
        <w:rPr>
          <w:rFonts w:ascii="Calibri" w:hAnsi="Calibri"/>
          <w:sz w:val="22"/>
        </w:rPr>
        <w:t>Will staff have to relearn it? Will overnight drift now have two places to hide?</w:t>
      </w:r>
    </w:p>
    <w:p>
      <w:pPr>
        <w:pStyle w:val="ListBullet"/>
      </w:pPr>
      <w:r>
        <w:rPr>
          <w:rFonts w:ascii="Calibri" w:hAnsi="Calibri"/>
          <w:sz w:val="22"/>
        </w:rPr>
        <w:t>LUCI close: one interface that works with the A/V already there. Does not replace. Does not name partners.</w:t>
      </w:r>
    </w:p>
    <w:p>
      <w:pPr>
        <w:pStyle w:val="ListBullet"/>
      </w:pPr>
      <w:r>
        <w:rPr>
          <w:rFonts w:ascii="Calibri" w:hAnsi="Calibri"/>
          <w:sz w:val="22"/>
        </w:rPr>
        <w:t>Optional pointer to Sam’s Town case study as “a wall that joined the house.”</w:t>
      </w:r>
    </w:p>
    <w:p/>
    <w:p>
      <w:r>
        <w:rPr>
          <w:rFonts w:ascii="Calibri" w:hAnsi="Calibri"/>
          <w:b w:val="0"/>
          <w:color w:val="0A161C"/>
          <w:sz w:val="22"/>
        </w:rP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LUCI how-to.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 or competitors (no Q-SYS, no brand fight).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p>
      <w:pPr>
        <w:pStyle w:val="ListBullet"/>
      </w:pPr>
      <w:r>
        <w:rPr>
          <w:rFonts w:ascii="Calibri" w:hAnsi="Calibri"/>
          <w:sz w:val="22"/>
        </w:rPr>
        <w:t>This is a lead magnet. It has to help before they have LUCI. Close with a walkthrough, not a LUCI procedure.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