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2 — Checklist / one-pager: one seat vs a stack of consoles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What they can see and control from one seat, versus walking a stack of consoles.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Prospects comparing how work actually happens on their floor today.</w:t>
      </w:r>
    </w:p>
    <w:p>
      <w:r>
        <w:rPr>
          <w:rFonts w:ascii="Calibri" w:hAnsi="Calibri"/>
          <w:b/>
          <w:color w:val="0A161C"/>
          <w:sz w:val="22"/>
        </w:rPr>
        <w:t>Source:</w:t>
      </w:r>
      <w:r>
        <w:rPr>
          <w:rFonts w:ascii="Calibri" w:hAnsi="Calibri"/>
          <w:b w:val="0"/>
          <w:color w:val="0A161C"/>
          <w:sz w:val="22"/>
        </w:rPr>
        <w:t xml:space="preserve"> Current LUCI only (reset, lighting, revert, volume as capabilities — not procedures). Mike 01: LUCI is not the stack. </w:t>
      </w:r>
      <w:r>
        <w:rPr>
          <w:rFonts w:ascii="Calibri" w:hAnsi="Calibri"/>
          <w:b/>
          <w:color w:val="0A161C"/>
          <w:sz w:val="22"/>
        </w:rPr>
        <w:t>Do not name competitors or partners. Do not write that LUCI replaces anything.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Book a walkthrough. Sit in one seat and run the same list.</w:t>
      </w:r>
    </w:p>
    <w:p/>
    <w:p>
      <w:r>
        <w:rPr>
          <w:rFonts w:ascii="Calibri" w:hAnsi="Calibri"/>
          <w:b/>
          <w:color w:val="0A161C"/>
          <w:sz w:val="22"/>
        </w:rPr>
        <w:t>Cover:</w:t>
      </w:r>
    </w:p>
    <w:p>
      <w:pPr>
        <w:pStyle w:val="ListBullet"/>
      </w:pPr>
      <w:r>
        <w:rPr>
          <w:rFonts w:ascii="Calibri" w:hAnsi="Calibri"/>
          <w:sz w:val="22"/>
        </w:rPr>
        <w:t>Two columns: “From one seat” / “From a stack of consoles.” Rows are jobs, not products: change a look, undo a look, match lighting to the room, set an announcement to the right level, see what is on the wall.</w:t>
      </w:r>
    </w:p>
    <w:p>
      <w:pPr>
        <w:pStyle w:val="ListBullet"/>
      </w:pPr>
      <w:r>
        <w:rPr>
          <w:rFonts w:ascii="Calibri" w:hAnsi="Calibri"/>
          <w:sz w:val="22"/>
        </w:rPr>
        <w:t>Current LUCI in the “one seat” column as the interface that works with the A/V they already have — absorbs, does not replace.</w:t>
      </w:r>
    </w:p>
    <w:p>
      <w:pPr>
        <w:pStyle w:val="ListBullet"/>
      </w:pPr>
      <w:r>
        <w:rPr>
          <w:rFonts w:ascii="Calibri" w:hAnsi="Calibri"/>
          <w:sz w:val="22"/>
        </w:rPr>
        <w:t>No Q-SYS. No brand fight. No invented stats. No New LUCI dump.</w:t>
      </w:r>
    </w:p>
    <w:p>
      <w:pPr>
        <w:pStyle w:val="ListBullet"/>
      </w:pPr>
      <w:r>
        <w:rPr>
          <w:rFonts w:ascii="Calibri" w:hAnsi="Calibri"/>
          <w:sz w:val="22"/>
        </w:rPr>
        <w:t>This can be a checklist they tick for their building today, and a one-pager they take from a demo.</w:t>
      </w:r>
    </w:p>
    <w:p>
      <w:pPr>
        <w:pStyle w:val="ListBullet"/>
      </w:pPr>
      <w:r>
        <w:rPr>
          <w:rFonts w:ascii="Calibri" w:hAnsi="Calibri"/>
          <w:sz w:val="22"/>
        </w:rPr>
        <w:t>Close: the walkthrough is that list, in one place.</w:t>
      </w:r>
    </w:p>
    <w:p/>
    <w:p>
      <w:r>
        <w:rPr>
          <w:rFonts w:ascii="Calibri" w:hAnsi="Calibri"/>
          <w:b w:val="0"/>
          <w:color w:val="0A161C"/>
          <w:sz w:val="22"/>
        </w:rP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LUCI how-to.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 or competitors (no Q-SYS, no brand fight).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p>
      <w:pPr>
        <w:pStyle w:val="ListBullet"/>
      </w:pPr>
      <w:r>
        <w:rPr>
          <w:rFonts w:ascii="Calibri" w:hAnsi="Calibri"/>
          <w:sz w:val="22"/>
        </w:rPr>
        <w:t>This is a lead magnet. It has to help before they have LUCI. Close with a walkthrough, not a LUCI procedure.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