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Wave 2 — Blog: the same consolidation argument in sentences</w:t>
      </w:r>
    </w:p>
    <w:p/>
    <w:p>
      <w:r>
        <w:rPr>
          <w:rFonts w:ascii="Calibri" w:hAnsi="Calibri"/>
          <w:b/>
          <w:color w:val="0A161C"/>
          <w:sz w:val="22"/>
        </w:rPr>
        <w:t>Topic:</w:t>
      </w:r>
      <w:r>
        <w:rPr>
          <w:rFonts w:ascii="Calibri" w:hAnsi="Calibri"/>
          <w:b w:val="0"/>
          <w:color w:val="0A161C"/>
          <w:sz w:val="22"/>
        </w:rPr>
        <w:t xml:space="preserve"> Separate A/V makes separate workflows. These properties did not grow a second stack.</w:t>
      </w:r>
    </w:p>
    <w:p>
      <w:r>
        <w:rPr>
          <w:rFonts w:ascii="Calibri" w:hAnsi="Calibri"/>
          <w:b/>
          <w:color w:val="0A161C"/>
          <w:sz w:val="22"/>
        </w:rPr>
        <w:t>Persona:</w:t>
      </w:r>
      <w:r>
        <w:rPr>
          <w:rFonts w:ascii="Calibri" w:hAnsi="Calibri"/>
          <w:b w:val="0"/>
          <w:color w:val="0A161C"/>
          <w:sz w:val="22"/>
        </w:rPr>
        <w:t xml:space="preserve"> Same as the infographic. The blog is the sentences; the infographic is the picture.</w:t>
      </w:r>
    </w:p>
    <w:p>
      <w:r>
        <w:t>**Source:** Same four live case studies. Point at those pages. **Not Aliante yet.**</w:t>
      </w:r>
    </w:p>
    <w:p>
      <w:r>
        <w:rPr>
          <w:rFonts w:ascii="Calibri" w:hAnsi="Calibri"/>
          <w:b/>
          <w:color w:val="0A161C"/>
          <w:sz w:val="22"/>
        </w:rPr>
        <w:t>CTA:</w:t>
      </w:r>
      <w:r>
        <w:rPr>
          <w:rFonts w:ascii="Calibri" w:hAnsi="Calibri"/>
          <w:b w:val="0"/>
          <w:color w:val="0A161C"/>
          <w:sz w:val="22"/>
        </w:rPr>
        <w:t xml:space="preserve"> Pick a case study. Book a walkthrough.</w:t>
      </w:r>
    </w:p>
    <w:p/>
    <w:p>
      <w:r>
        <w:t>**Cover:**</w:t>
      </w:r>
    </w:p>
    <w:p>
      <w:pPr>
        <w:pStyle w:val="ListBullet"/>
      </w:pPr>
      <w:r>
        <w:rPr>
          <w:rFonts w:ascii="Calibri" w:hAnsi="Calibri"/>
          <w:sz w:val="22"/>
        </w:rPr>
        <w:t>Lead with the accumulated problem (separate systems, separate vendors, separate nights), not with LUCI.</w:t>
      </w:r>
    </w:p>
    <w:p>
      <w:pPr>
        <w:pStyle w:val="ListBullet"/>
      </w:pPr>
      <w:r>
        <w:rPr>
          <w:rFonts w:ascii="Calibri" w:hAnsi="Calibri"/>
          <w:sz w:val="22"/>
        </w:rPr>
        <w:t>Use only the public facts listed in the infographic brief. No new numbers.</w:t>
      </w:r>
    </w:p>
    <w:p>
      <w:pPr>
        <w:pStyle w:val="ListBullet"/>
      </w:pPr>
      <w:r>
        <w:rPr>
          <w:rFonts w:ascii="Calibri" w:hAnsi="Calibri"/>
          <w:sz w:val="22"/>
        </w:rPr>
        <w:t>One interface. Works with and absorbs. Does not replace.</w:t>
      </w:r>
    </w:p>
    <w:p>
      <w:pPr>
        <w:pStyle w:val="ListBullet"/>
      </w:pPr>
      <w:r>
        <w:rPr>
          <w:rFonts w:ascii="Calibri" w:hAnsi="Calibri"/>
          <w:sz w:val="22"/>
        </w:rPr>
        <w:t>Invite the walkthrough. Do not write a playbook.</w:t>
      </w:r>
    </w:p>
    <w:p/>
    <w:p>
      <w:r>
        <w:t>Constraints for every piece</w:t>
      </w:r>
    </w:p>
    <w:p>
      <w:pPr>
        <w:pStyle w:val="ListBullet"/>
      </w:pPr>
      <w:r>
        <w:rPr>
          <w:rFonts w:ascii="Calibri" w:hAnsi="Calibri"/>
          <w:sz w:val="22"/>
        </w:rPr>
        <w:t>Readers are new prospects (property A/V, IT, ops leadership). Not a customer operating manual.</w:t>
      </w:r>
    </w:p>
    <w:p>
      <w:pPr>
        <w:pStyle w:val="ListBullet"/>
      </w:pPr>
      <w:r>
        <w:rPr>
          <w:rFonts w:ascii="Calibri" w:hAnsi="Calibri"/>
          <w:sz w:val="22"/>
        </w:rPr>
        <w:t>Always write A/V.</w:t>
      </w:r>
    </w:p>
    <w:p>
      <w:pPr>
        <w:pStyle w:val="ListBullet"/>
      </w:pPr>
      <w:r>
        <w:rPr>
          <w:rFonts w:ascii="Calibri" w:hAnsi="Calibri"/>
          <w:sz w:val="22"/>
        </w:rPr>
        <w:t>LUCI works with and absorbs the systems already on the floor. It does not replace them. Do not name partners. Never call LUCI a layer.</w:t>
      </w:r>
    </w:p>
    <w:p>
      <w:pPr>
        <w:pStyle w:val="ListBullet"/>
      </w:pPr>
      <w:r>
        <w:rPr>
          <w:rFonts w:ascii="Calibri" w:hAnsi="Calibri"/>
          <w:sz w:val="22"/>
        </w:rPr>
        <w:t>New LUCI is beta, property by property. Not a public splash. Do not write “we launched.”</w:t>
      </w:r>
    </w:p>
    <w:p>
      <w:pPr>
        <w:pStyle w:val="ListBullet"/>
      </w:pPr>
      <w:r>
        <w:rPr>
          <w:rFonts w:ascii="Calibri" w:hAnsi="Calibri"/>
          <w:sz w:val="22"/>
        </w:rPr>
        <w:t>Do not invent ROI, percentages, or extra stats. Only facts in this brief.</w:t>
      </w:r>
    </w:p>
    <w:p>
      <w:pPr>
        <w:pStyle w:val="ListBullet"/>
      </w:pPr>
      <w:r>
        <w:rPr>
          <w:rFonts w:ascii="Calibri" w:hAnsi="Calibri"/>
          <w:sz w:val="22"/>
        </w:rPr>
        <w:t>Never write the word “easy.” If a teaser shows the move, show the move.</w:t>
      </w:r>
    </w:p>
    <w:p>
      <w:pPr>
        <w:pStyle w:val="ListBullet"/>
      </w:pPr>
      <w:r>
        <w:rPr>
          <w:rFonts w:ascii="Calibri" w:hAnsi="Calibri"/>
          <w:sz w:val="22"/>
        </w:rPr>
        <w:t>Named properties only if this brief names them. Do not add others.</w:t>
      </w:r>
    </w:p>
    <w:p>
      <w:pPr>
        <w:pStyle w:val="ListBullet"/>
      </w:pPr>
      <w:r>
        <w:rPr>
          <w:rFonts w:ascii="Calibri" w:hAnsi="Calibri"/>
          <w:sz w:val="22"/>
        </w:rPr>
        <w:t>Institutional voice. Short. LUCI is the means, not the hero speech.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