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2 — Infographic: consolidation across public case studies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One interface. The house does not grow a second stack.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Prospects who think “consolidation” is a slogan.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Live case-study pages for Ameristar, Tachi Palace, Sam’s Town, Yaamava. </w:t>
      </w:r>
      <w:r>
        <w:rPr>
          <w:rFonts w:ascii="Calibri" w:hAnsi="Calibri"/>
          <w:b/>
          <w:color w:val="0A161C"/>
          <w:sz w:val="22"/>
        </w:rPr>
        <w:t>Not Aliante until that page is clean.</w:t>
      </w:r>
      <w:r>
        <w:rPr>
          <w:rFonts w:ascii="Calibri" w:hAnsi="Calibri"/>
          <w:b w:val="0"/>
          <w:color w:val="0A161C"/>
          <w:sz w:val="22"/>
        </w:rPr>
        <w:t xml:space="preserve"> Homepage “consolidation you can see” ledger exists — do not copy it and do not add fake numbers.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Read a case study. Book a walkthrough.</w:t>
      </w:r>
    </w:p>
    <w:p/>
    <w:p>
      <w:r>
        <w:t>**Cover:**</w:t>
      </w:r>
    </w:p>
    <w:p>
      <w:pPr>
        <w:pStyle w:val="ListBullet"/>
      </w:pPr>
      <w:r>
        <w:rPr>
          <w:rFonts w:ascii="Calibri" w:hAnsi="Calibri"/>
          <w:sz w:val="22"/>
        </w:rPr>
        <w:t>One picture, named properties, public facts only.</w:t>
      </w:r>
    </w:p>
    <w:p>
      <w:pPr>
        <w:pStyle w:val="ListBullet"/>
      </w:pPr>
      <w:r>
        <w:rPr>
          <w:rFonts w:ascii="Calibri" w:hAnsi="Calibri"/>
          <w:sz w:val="22"/>
        </w:rPr>
        <w:t>Ameristar: three days, floor never closed, control on land.</w:t>
      </w:r>
    </w:p>
    <w:p>
      <w:pPr>
        <w:pStyle w:val="ListBullet"/>
      </w:pPr>
      <w:r>
        <w:rPr>
          <w:rFonts w:ascii="Calibri" w:hAnsi="Calibri"/>
          <w:sz w:val="22"/>
        </w:rPr>
        <w:t>Tachi: eight LED walls, one week, one interface.</w:t>
      </w:r>
    </w:p>
    <w:p>
      <w:pPr>
        <w:pStyle w:val="ListBullet"/>
      </w:pPr>
      <w:r>
        <w:rPr>
          <w:rFonts w:ascii="Calibri" w:hAnsi="Calibri"/>
          <w:sz w:val="22"/>
        </w:rPr>
        <w:t>Sam’s Town: 480-square-foot LED on the platform already running the house.</w:t>
      </w:r>
    </w:p>
    <w:p>
      <w:pPr>
        <w:pStyle w:val="ListBullet"/>
      </w:pPr>
      <w:r>
        <w:rPr>
          <w:rFonts w:ascii="Calibri" w:hAnsi="Calibri"/>
          <w:sz w:val="22"/>
        </w:rPr>
        <w:t>Yaamava: 34 LED walls, seven venues, 290,000 square feet, one interface.</w:t>
      </w:r>
    </w:p>
    <w:p>
      <w:pPr>
        <w:pStyle w:val="ListBullet"/>
      </w:pPr>
      <w:r>
        <w:rPr>
          <w:rFonts w:ascii="Calibri" w:hAnsi="Calibri"/>
          <w:sz w:val="22"/>
        </w:rPr>
        <w:t>Argument: works with and absorbs the A/V already there. Not replace. Not a layer. No partner names.</w:t>
      </w:r>
    </w:p>
    <w:p>
      <w:pPr>
        <w:pStyle w:val="ListBullet"/>
      </w:pPr>
      <w:r>
        <w:rPr>
          <w:rFonts w:ascii="Calibri" w:hAnsi="Calibri"/>
          <w:sz w:val="22"/>
        </w:rPr>
        <w:t>Not a ROI grid. Not “best.” Not “largest.” No Aliante. No invented stats.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