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3 — Video: consolidation (later make)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The same argument in motion.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will not read the blog.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Public case-study footage and photos already cleared: Ameristar, Tachi, Sam’s Town, Yaamava. </w:t>
      </w:r>
      <w:r>
        <w:rPr>
          <w:rFonts w:ascii="Calibri" w:hAnsi="Calibri"/>
          <w:b/>
          <w:color w:val="0A161C"/>
          <w:sz w:val="22"/>
        </w:rPr>
        <w:t>Not Aliante until the page is clean.</w:t>
      </w:r>
      <w:r>
        <w:rPr>
          <w:rFonts w:ascii="Calibri" w:hAnsi="Calibri"/>
          <w:b w:val="0"/>
          <w:color w:val="0A161C"/>
          <w:sz w:val="22"/>
        </w:rPr>
        <w:t xml:space="preserve"> Use Jane’s current video framework when this is assigned as a make. First pass is the brief only.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End on a walkthrough ask. Super: the four property names already public.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One idea: one interface, the A/V stays in the picture, the house does not grow a second stack.</w:t>
      </w:r>
    </w:p>
    <w:p>
      <w:pPr>
        <w:pStyle w:val="ListBullet"/>
      </w:pPr>
      <w:r>
        <w:rPr>
          <w:rFonts w:ascii="Calibri" w:hAnsi="Calibri"/>
          <w:sz w:val="22"/>
        </w:rPr>
        <w:t>Only public facts. No invented stats. No “largest.” No partner names. No replace.</w:t>
      </w:r>
    </w:p>
    <w:p>
      <w:pPr>
        <w:pStyle w:val="ListBullet"/>
      </w:pPr>
      <w:r>
        <w:rPr>
          <w:rFonts w:ascii="Calibri" w:hAnsi="Calibri"/>
          <w:sz w:val="22"/>
        </w:rPr>
        <w:t>Named clients only: the four above.</w:t>
      </w:r>
    </w:p>
    <w:p>
      <w:pPr>
        <w:pStyle w:val="ListBullet"/>
      </w:pPr>
      <w:r>
        <w:rPr>
          <w:rFonts w:ascii="Calibri" w:hAnsi="Calibri"/>
          <w:sz w:val="22"/>
        </w:rPr>
        <w:t>Do not write a shot list that requires searching undeclared folders. When it is time to make, assign it under the current video framework.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