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1 — Mike blog: what you may not know about LUCI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LUCI is how you run the A/V together. It is not the speakers and the wall.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 who think buying LUCI means ripping out what they already bought.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The Signal, Issue 01, Minute with Mike: “What you may not know about LUCI.” </w:t>
      </w:r>
      <w:r>
        <w:rPr>
          <w:rFonts w:ascii="Calibri" w:hAnsi="Calibri"/>
          <w:b/>
          <w:color w:val="0A161C"/>
          <w:sz w:val="22"/>
        </w:rPr>
        <w:t>New use, not a reprint.</w:t>
      </w:r>
      <w:r>
        <w:rPr>
          <w:rFonts w:ascii="Calibri" w:hAnsi="Calibri"/>
          <w:b w:val="0"/>
          <w:color w:val="0A161C"/>
          <w:sz w:val="22"/>
        </w:rPr>
        <w:t xml:space="preserve"> Prospect myth-bust. Do not paste the column.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walkthrough. Bring the systems you already have.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The misconception: LUCI *is* the audio, the lighting, the TVs.</w:t>
      </w:r>
    </w:p>
    <w:p>
      <w:pPr>
        <w:pStyle w:val="ListBullet"/>
      </w:pPr>
      <w:r>
        <w:rPr>
          <w:rFonts w:ascii="Calibri" w:hAnsi="Calibri"/>
          <w:sz w:val="22"/>
        </w:rPr>
        <w:t>The truth: those stay. LUCI is how you run them together, on one interface.</w:t>
      </w:r>
    </w:p>
    <w:p>
      <w:pPr>
        <w:pStyle w:val="ListBullet"/>
      </w:pPr>
      <w:r>
        <w:rPr>
          <w:rFonts w:ascii="Calibri" w:hAnsi="Calibri"/>
          <w:sz w:val="22"/>
        </w:rPr>
        <w:t>Works with and absorbs what is already on the floor. Does not replace it.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What a first conversation is for: see their actual A/V in one place, not a catalog of new boxes.</w:t>
      </w:r>
    </w:p>
    <w:p>
      <w:pPr>
        <w:pStyle w:val="ListBullet"/>
      </w:pPr>
      <w:r>
        <w:rPr>
          <w:rFonts w:ascii="Calibri" w:hAnsi="Calibri"/>
          <w:sz w:val="22"/>
        </w:rPr>
        <w:t>Mike’s voice, institutional, not a standup. Do not invent quotes. If you need a line in his register, paraphrase the argument, do not mint a fake Mike quote.</w:t>
      </w:r>
    </w:p>
    <w:p>
      <w:pPr>
        <w:pStyle w:val="ListBullet"/>
      </w:pPr>
      <w:r>
        <w:rPr>
          <w:rFonts w:ascii="Calibri" w:hAnsi="Calibri"/>
          <w:sz w:val="22"/>
        </w:rPr>
        <w:t>This is the website. Not a sales leave-behind (that is the sister brief).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