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Sales one-pager: what LUCI is (and is not)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Same argument as the Mike 01 blog, for the room with Mark or Mike — not a website how-to.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A prospect sitting in a demo or a follow-up. Mark and Mike are in the room. Marketing does not talk over them.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01, Minute with Mike: “What you may not know about LUCI.” Recast as a one-page leave-behind.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Stay in this conversation. Next step is the walkthrough they are already in — not a support article, not a kiosk checklist.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One page. Headline, four short points, one close. No magazine layout.</w:t>
      </w:r>
    </w:p>
    <w:p>
      <w:pPr>
        <w:pStyle w:val="ListBullet"/>
      </w:pPr>
      <w:r>
        <w:rPr>
          <w:rFonts w:ascii="Calibri" w:hAnsi="Calibri"/>
          <w:sz w:val="22"/>
        </w:rPr>
        <w:t>LUCI is not the stack. The A/V stays. One interface to control, automate, and execute.</w:t>
      </w:r>
    </w:p>
    <w:p>
      <w:pPr>
        <w:pStyle w:val="ListBullet"/>
      </w:pPr>
      <w:r>
        <w:rPr>
          <w:rFonts w:ascii="Calibri" w:hAnsi="Calibri"/>
          <w:sz w:val="22"/>
        </w:rPr>
        <w:t>Works with and absorbs. Does not replace.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What they can do in a first look: see their world in one place.</w:t>
      </w:r>
    </w:p>
    <w:p>
      <w:pPr>
        <w:pStyle w:val="ListBullet"/>
      </w:pPr>
      <w:r>
        <w:rPr>
          <w:rFonts w:ascii="Calibri" w:hAnsi="Calibri"/>
          <w:sz w:val="22"/>
        </w:rPr>
        <w:t>Space for Mark or Mike to talk. This page does not close the deal.</w:t>
      </w:r>
    </w:p>
    <w:p>
      <w:pPr>
        <w:pStyle w:val="ListBullet"/>
      </w:pPr>
      <w:r>
        <w:rPr>
          <w:rFonts w:ascii="Calibri" w:hAnsi="Calibri"/>
          <w:sz w:val="22"/>
        </w:rPr>
        <w:t>Not a customer Field Activation Guide. Not a booth how-to.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