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Wave 2 — Mike blog: design the lighting like there is no control system</w:t>
      </w:r>
    </w:p>
    <w:p/>
    <w:p>
      <w:r>
        <w:rPr>
          <w:rFonts w:ascii="Calibri" w:hAnsi="Calibri"/>
          <w:b/>
          <w:color w:val="0A161C"/>
          <w:sz w:val="22"/>
        </w:rPr>
        <w:t>Topic:</w:t>
      </w:r>
      <w:r>
        <w:rPr>
          <w:rFonts w:ascii="Calibri" w:hAnsi="Calibri"/>
          <w:b w:val="0"/>
          <w:color w:val="0A161C"/>
          <w:sz w:val="22"/>
        </w:rPr>
        <w:t xml:space="preserve"> Design the room. Then run it in LUCI.</w:t>
      </w:r>
    </w:p>
    <w:p>
      <w:r>
        <w:rPr>
          <w:rFonts w:ascii="Calibri" w:hAnsi="Calibri"/>
          <w:b/>
          <w:color w:val="0A161C"/>
          <w:sz w:val="22"/>
        </w:rPr>
        <w:t>Persona:</w:t>
      </w:r>
      <w:r>
        <w:rPr>
          <w:rFonts w:ascii="Calibri" w:hAnsi="Calibri"/>
          <w:b w:val="0"/>
          <w:color w:val="0A161C"/>
          <w:sz w:val="22"/>
        </w:rPr>
        <w:t xml:space="preserve"> Prospects who buy lighting as a processor problem.</w:t>
      </w:r>
    </w:p>
    <w:p>
      <w:r>
        <w:rPr>
          <w:rFonts w:ascii="Calibri" w:hAnsi="Calibri"/>
          <w:b/>
          <w:color w:val="0A161C"/>
          <w:sz w:val="22"/>
        </w:rPr>
        <w:t>Source:</w:t>
      </w:r>
      <w:r>
        <w:rPr>
          <w:rFonts w:ascii="Calibri" w:hAnsi="Calibri"/>
          <w:b w:val="0"/>
          <w:color w:val="0A161C"/>
          <w:sz w:val="22"/>
        </w:rPr>
        <w:t xml:space="preserve"> The Signal, Issue 02, Minute with Mike: “Design your lighting like there’s no control system.” </w:t>
      </w:r>
      <w:r>
        <w:rPr>
          <w:rFonts w:ascii="Calibri" w:hAnsi="Calibri"/>
          <w:b/>
          <w:color w:val="0A161C"/>
          <w:sz w:val="22"/>
        </w:rPr>
        <w:t>New use, not a reprint.</w:t>
      </w:r>
      <w:r>
        <w:rPr>
          <w:rFonts w:ascii="Calibri" w:hAnsi="Calibri"/>
          <w:b w:val="0"/>
          <w:color w:val="0A161C"/>
          <w:sz w:val="22"/>
        </w:rPr>
        <w:t xml:space="preserve"> This blog can open the lighting spotlight (Wave 1). They should feel like a pair, not twins.</w:t>
      </w:r>
    </w:p>
    <w:p>
      <w:r>
        <w:rPr>
          <w:rFonts w:ascii="Calibri" w:hAnsi="Calibri"/>
          <w:b/>
          <w:color w:val="0A161C"/>
          <w:sz w:val="22"/>
        </w:rPr>
        <w:t>CTA:</w:t>
      </w:r>
      <w:r>
        <w:rPr>
          <w:rFonts w:ascii="Calibri" w:hAnsi="Calibri"/>
          <w:b w:val="0"/>
          <w:color w:val="0A161C"/>
          <w:sz w:val="22"/>
        </w:rPr>
        <w:t xml:space="preserve"> Book a walkthrough. Bring a room, not a console diagram.</w:t>
      </w:r>
    </w:p>
    <w:p/>
    <w:p>
      <w:r>
        <w:t>**Cover:**</w:t>
      </w:r>
    </w:p>
    <w:p>
      <w:pPr>
        <w:pStyle w:val="ListBullet"/>
      </w:pPr>
      <w:r>
        <w:rPr>
          <w:rFonts w:ascii="Calibri" w:hAnsi="Calibri"/>
          <w:sz w:val="22"/>
        </w:rPr>
        <w:t>Design the guest experience first. The processor is not the brief.</w:t>
      </w:r>
    </w:p>
    <w:p>
      <w:pPr>
        <w:pStyle w:val="ListBullet"/>
      </w:pPr>
      <w:r>
        <w:rPr>
          <w:rFonts w:ascii="Calibri" w:hAnsi="Calibri"/>
          <w:sz w:val="22"/>
        </w:rPr>
        <w:t>Then lighting lives in current LUCI with the rest of the A/V (point at the lighting spotlight, do not duplicate it).</w:t>
      </w:r>
    </w:p>
    <w:p>
      <w:pPr>
        <w:pStyle w:val="ListBullet"/>
      </w:pPr>
      <w:r>
        <w:rPr>
          <w:rFonts w:ascii="Calibri" w:hAnsi="Calibri"/>
          <w:sz w:val="22"/>
        </w:rPr>
        <w:t>What they can do: walk a real room in the demo, not a lighting-only night.</w:t>
      </w:r>
    </w:p>
    <w:p>
      <w:pPr>
        <w:pStyle w:val="ListBullet"/>
      </w:pPr>
      <w:r>
        <w:rPr>
          <w:rFonts w:ascii="Calibri" w:hAnsi="Calibri"/>
          <w:sz w:val="22"/>
        </w:rPr>
        <w:t>Mike’s voice. Do not invent quotes.</w:t>
      </w:r>
    </w:p>
    <w:p>
      <w:pPr>
        <w:pStyle w:val="ListBullet"/>
      </w:pPr>
      <w:r>
        <w:rPr>
          <w:rFonts w:ascii="Calibri" w:hAnsi="Calibri"/>
          <w:sz w:val="22"/>
        </w:rPr>
        <w:t>Current LUCI. No New LUCI dump. Never write “easy.”</w:t>
      </w:r>
    </w:p>
    <w:p/>
    <w:p>
      <w:r>
        <w:t>Constraints for every piece</w:t>
      </w:r>
    </w:p>
    <w:p>
      <w:pPr>
        <w:pStyle w:val="ListBullet"/>
      </w:pPr>
      <w:r>
        <w:rPr>
          <w:rFonts w:ascii="Calibri" w:hAnsi="Calibri"/>
          <w:sz w:val="22"/>
        </w:rPr>
        <w:t>Readers are new prospects (property A/V, IT, ops leadership). Not a customer operating manual.</w:t>
      </w:r>
    </w:p>
    <w:p>
      <w:pPr>
        <w:pStyle w:val="ListBullet"/>
      </w:pPr>
      <w:r>
        <w:rPr>
          <w:rFonts w:ascii="Calibri" w:hAnsi="Calibri"/>
          <w:sz w:val="22"/>
        </w:rPr>
        <w:t>Always write A/V.</w:t>
      </w:r>
    </w:p>
    <w:p>
      <w:pPr>
        <w:pStyle w:val="ListBullet"/>
      </w:pPr>
      <w:r>
        <w:rPr>
          <w:rFonts w:ascii="Calibri" w:hAnsi="Calibri"/>
          <w:sz w:val="22"/>
        </w:rPr>
        <w:t>LUCI works with and absorbs the systems already on the floor. It does not replace them. Do not name partners. Never call LUCI a layer.</w:t>
      </w:r>
    </w:p>
    <w:p>
      <w:pPr>
        <w:pStyle w:val="ListBullet"/>
      </w:pPr>
      <w:r>
        <w:rPr>
          <w:rFonts w:ascii="Calibri" w:hAnsi="Calibri"/>
          <w:sz w:val="22"/>
        </w:rPr>
        <w:t>New LUCI is beta, property by property. Not a public splash. Do not write “we launched.”</w:t>
      </w:r>
    </w:p>
    <w:p>
      <w:pPr>
        <w:pStyle w:val="ListBullet"/>
      </w:pPr>
      <w:r>
        <w:rPr>
          <w:rFonts w:ascii="Calibri" w:hAnsi="Calibri"/>
          <w:sz w:val="22"/>
        </w:rPr>
        <w:t>Do not invent ROI, percentages, or extra stats. Only facts in this brief.</w:t>
      </w:r>
    </w:p>
    <w:p>
      <w:pPr>
        <w:pStyle w:val="ListBullet"/>
      </w:pPr>
      <w:r>
        <w:rPr>
          <w:rFonts w:ascii="Calibri" w:hAnsi="Calibri"/>
          <w:sz w:val="22"/>
        </w:rPr>
        <w:t>Never write the word “easy.” If a teaser shows the move, show the move.</w:t>
      </w:r>
    </w:p>
    <w:p>
      <w:pPr>
        <w:pStyle w:val="ListBullet"/>
      </w:pPr>
      <w:r>
        <w:rPr>
          <w:rFonts w:ascii="Calibri" w:hAnsi="Calibri"/>
          <w:sz w:val="22"/>
        </w:rPr>
        <w:t>Named properties only if this brief names them. Do not add others.</w:t>
      </w:r>
    </w:p>
    <w:p>
      <w:pPr>
        <w:pStyle w:val="ListBullet"/>
      </w:pPr>
      <w:r>
        <w:rPr>
          <w:rFonts w:ascii="Calibri" w:hAnsi="Calibri"/>
          <w:sz w:val="22"/>
        </w:rPr>
        <w:t>Institutional voice. Short. LUCI is the means, not the hero speech.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