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Mike blog: the best things we build aren’t our ideas + pull-quotes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Platform and partnership as one offering.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have been burned by a vendor that installs and disappears.</w:t>
      </w:r>
    </w:p>
    <w:p>
      <w:r>
        <w:t>**Source:** The Signal, Issue 03, Minute with Mike: “The best things we build aren’t our ideas.” **New use, not a reprint.**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Meet the team that stays.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argument: the useful work comes from the property, not from our catalog.</w:t>
      </w:r>
    </w:p>
    <w:p>
      <w:pPr>
        <w:pStyle w:val="ListBullet"/>
      </w:pPr>
      <w:r>
        <w:rPr>
          <w:rFonts w:ascii="Calibri" w:hAnsi="Calibri"/>
          <w:sz w:val="22"/>
        </w:rPr>
        <w:t>Platform + partnership. Control, automate, execute. A team that stays.</w:t>
      </w:r>
    </w:p>
    <w:p>
      <w:pPr>
        <w:pStyle w:val="ListBullet"/>
      </w:pPr>
      <w:r>
        <w:rPr>
          <w:rFonts w:ascii="Calibri" w:hAnsi="Calibri"/>
          <w:sz w:val="22"/>
        </w:rPr>
        <w:t>Do not write that LUCI replaces other tech. Do not name partners.</w:t>
      </w:r>
    </w:p>
    <w:p>
      <w:pPr>
        <w:pStyle w:val="ListBullet"/>
      </w:pPr>
      <w:r>
        <w:rPr>
          <w:rFonts w:ascii="Calibri" w:hAnsi="Calibri"/>
          <w:sz w:val="22"/>
        </w:rPr>
        <w:t>**Also deliver:** 4–6 short pull-quotes (paraphrased from the argument, clearly not invented first-person unless already published) that case-study blogs can use. No fake Mike quotations. If a line would need to be a quote, write it as a statement, not a quote.</w:t>
      </w:r>
    </w:p>
    <w:p>
      <w:pPr>
        <w:pStyle w:val="ListBullet"/>
      </w:pPr>
      <w:r>
        <w:rPr>
          <w:rFonts w:ascii="Calibri" w:hAnsi="Calibri"/>
          <w:sz w:val="22"/>
        </w:rPr>
        <w:t>This is not a hire announcement and not Jane’s bio.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