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3 — Monthly reflection: August (from Issue 03)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The difference between moving and moving forward.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Prospects. Expandable. Not “Mike opens the letter.”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03 welcome / “The Difference Between Moving and Moving Forward.”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Motion on a live property is not the same as progress. One interface is how the next change is forward.</w:t>
      </w:r>
    </w:p>
    <w:p>
      <w:pPr>
        <w:pStyle w:val="ListBullet"/>
      </w:pPr>
      <w:r>
        <w:rPr>
          <w:rFonts w:ascii="Calibri" w:hAnsi="Calibri"/>
          <w:sz w:val="22"/>
        </w:rPr>
        <w:t>Strip launch language, website-coming language, and “the ship arrives.”</w:t>
      </w:r>
    </w:p>
    <w:p>
      <w:pPr>
        <w:pStyle w:val="ListBullet"/>
      </w:pPr>
      <w:r>
        <w:rPr>
          <w:rFonts w:ascii="Calibri" w:hAnsi="Calibri"/>
          <w:sz w:val="22"/>
        </w:rPr>
        <w:t>Current LUCI. Beta is not this essay’s job.</w:t>
      </w:r>
    </w:p>
    <w:p>
      <w:pPr>
        <w:pStyle w:val="ListBullet"/>
      </w:pPr>
      <w:r>
        <w:rPr>
          <w:rFonts w:ascii="Calibri" w:hAnsi="Calibri"/>
          <w:sz w:val="22"/>
        </w:rPr>
        <w:t>Can pair with the partnership blog later. Do not reprint Mike 03.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