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Wave 3 — Monthly reflection: June (from Issue 01)</w:t>
      </w:r>
    </w:p>
    <w:p/>
    <w:p>
      <w:r>
        <w:rPr>
          <w:rFonts w:ascii="Calibri" w:hAnsi="Calibri"/>
          <w:b/>
          <w:color w:val="0A161C"/>
          <w:sz w:val="22"/>
        </w:rPr>
        <w:t>Topic:</w:t>
      </w:r>
      <w:r>
        <w:rPr>
          <w:rFonts w:ascii="Calibri" w:hAnsi="Calibri"/>
          <w:b w:val="0"/>
          <w:color w:val="0A161C"/>
          <w:sz w:val="22"/>
        </w:rPr>
        <w:t xml:space="preserve"> Clearing the deck for deliberate action — as a prospect essay, not a letter welcome.</w:t>
      </w:r>
    </w:p>
    <w:p>
      <w:r>
        <w:rPr>
          <w:rFonts w:ascii="Calibri" w:hAnsi="Calibri"/>
          <w:b/>
          <w:color w:val="0A161C"/>
          <w:sz w:val="22"/>
        </w:rPr>
        <w:t>Persona:</w:t>
      </w:r>
      <w:r>
        <w:rPr>
          <w:rFonts w:ascii="Calibri" w:hAnsi="Calibri"/>
          <w:b w:val="0"/>
          <w:color w:val="0A161C"/>
          <w:sz w:val="22"/>
        </w:rPr>
        <w:t xml:space="preserve"> Prospects. Expandable later (longer essay, or a series). Not “welcome to this email.”</w:t>
      </w:r>
    </w:p>
    <w:p>
      <w:r>
        <w:rPr>
          <w:rFonts w:ascii="Calibri" w:hAnsi="Calibri"/>
          <w:b/>
          <w:color w:val="0A161C"/>
          <w:sz w:val="22"/>
        </w:rPr>
        <w:t>Source:</w:t>
      </w:r>
      <w:r>
        <w:rPr>
          <w:rFonts w:ascii="Calibri" w:hAnsi="Calibri"/>
          <w:b w:val="0"/>
          <w:color w:val="0A161C"/>
          <w:sz w:val="22"/>
        </w:rPr>
        <w:t xml:space="preserve"> The Signal, Issue 01 welcome / “Welcome to The Signal” and the June theme (clear the deck for deliberate action).</w:t>
      </w:r>
    </w:p>
    <w:p>
      <w:r>
        <w:rPr>
          <w:rFonts w:ascii="Calibri" w:hAnsi="Calibri"/>
          <w:b/>
          <w:color w:val="0A161C"/>
          <w:sz w:val="22"/>
        </w:rPr>
        <w:t>CTA:</w:t>
      </w:r>
      <w:r>
        <w:rPr>
          <w:rFonts w:ascii="Calibri" w:hAnsi="Calibri"/>
          <w:b w:val="0"/>
          <w:color w:val="0A161C"/>
          <w:sz w:val="22"/>
        </w:rPr>
        <w:t xml:space="preserve"> Book a walkthrough.</w:t>
      </w:r>
    </w:p>
    <w:p/>
    <w:p>
      <w:r>
        <w:t>**Cover:**</w:t>
      </w:r>
    </w:p>
    <w:p>
      <w:pPr>
        <w:pStyle w:val="ListBullet"/>
      </w:pPr>
      <w:r>
        <w:rPr>
          <w:rFonts w:ascii="Calibri" w:hAnsi="Calibri"/>
          <w:sz w:val="22"/>
        </w:rPr>
        <w:t>The floor is leftover looks and leftover decisions. Deliberate action requires a known state.</w:t>
      </w:r>
    </w:p>
    <w:p>
      <w:pPr>
        <w:pStyle w:val="ListBullet"/>
      </w:pPr>
      <w:r>
        <w:rPr>
          <w:rFonts w:ascii="Calibri" w:hAnsi="Calibri"/>
          <w:sz w:val="22"/>
        </w:rPr>
        <w:t>Recast the subscriber welcome as an argument, not housekeeping (no “in this issue,” no Jane hire, no support portal).</w:t>
      </w:r>
    </w:p>
    <w:p>
      <w:pPr>
        <w:pStyle w:val="ListBullet"/>
      </w:pPr>
      <w:r>
        <w:rPr>
          <w:rFonts w:ascii="Calibri" w:hAnsi="Calibri"/>
          <w:sz w:val="22"/>
        </w:rPr>
        <w:t>Current LUCI. Point at morning reset if you need a concrete move.</w:t>
      </w:r>
    </w:p>
    <w:p>
      <w:pPr>
        <w:pStyle w:val="ListBullet"/>
      </w:pPr>
      <w:r>
        <w:rPr>
          <w:rFonts w:ascii="Calibri" w:hAnsi="Calibri"/>
          <w:sz w:val="22"/>
        </w:rPr>
        <w:t>Do not turn this into a New LUCI splash.</w:t>
      </w:r>
    </w:p>
    <w:p/>
    <w:p>
      <w:r>
        <w:t>Constraints for every piece</w:t>
      </w:r>
    </w:p>
    <w:p>
      <w:pPr>
        <w:pStyle w:val="ListBullet"/>
      </w:pPr>
      <w:r>
        <w:rPr>
          <w:rFonts w:ascii="Calibri" w:hAnsi="Calibri"/>
          <w:sz w:val="22"/>
        </w:rPr>
        <w:t>Readers are new prospects (property A/V, IT, ops leadership). Not a customer operating manual.</w:t>
      </w:r>
    </w:p>
    <w:p>
      <w:pPr>
        <w:pStyle w:val="ListBullet"/>
      </w:pPr>
      <w:r>
        <w:rPr>
          <w:rFonts w:ascii="Calibri" w:hAnsi="Calibri"/>
          <w:sz w:val="22"/>
        </w:rPr>
        <w:t>Always write A/V.</w:t>
      </w:r>
    </w:p>
    <w:p>
      <w:pPr>
        <w:pStyle w:val="ListBullet"/>
      </w:pPr>
      <w:r>
        <w:rPr>
          <w:rFonts w:ascii="Calibri" w:hAnsi="Calibri"/>
          <w:sz w:val="22"/>
        </w:rPr>
        <w:t>LUCI works with and absorbs the systems already on the floor. It does not replace them. Do not name partners. Never call LUCI a layer.</w:t>
      </w:r>
    </w:p>
    <w:p>
      <w:pPr>
        <w:pStyle w:val="ListBullet"/>
      </w:pPr>
      <w:r>
        <w:rPr>
          <w:rFonts w:ascii="Calibri" w:hAnsi="Calibri"/>
          <w:sz w:val="22"/>
        </w:rPr>
        <w:t>New LUCI is beta, property by property. Not a public splash. Do not write “we launched.”</w:t>
      </w:r>
    </w:p>
    <w:p>
      <w:pPr>
        <w:pStyle w:val="ListBullet"/>
      </w:pPr>
      <w:r>
        <w:rPr>
          <w:rFonts w:ascii="Calibri" w:hAnsi="Calibri"/>
          <w:sz w:val="22"/>
        </w:rPr>
        <w:t>Do not invent ROI, percentages, or extra stats. Only facts in this brief.</w:t>
      </w:r>
    </w:p>
    <w:p>
      <w:pPr>
        <w:pStyle w:val="ListBullet"/>
      </w:pPr>
      <w:r>
        <w:rPr>
          <w:rFonts w:ascii="Calibri" w:hAnsi="Calibri"/>
          <w:sz w:val="22"/>
        </w:rPr>
        <w:t>Never write the word “easy.” If a teaser shows the move, show the move.</w:t>
      </w:r>
    </w:p>
    <w:p>
      <w:pPr>
        <w:pStyle w:val="ListBullet"/>
      </w:pPr>
      <w:r>
        <w:rPr>
          <w:rFonts w:ascii="Calibri" w:hAnsi="Calibri"/>
          <w:sz w:val="22"/>
        </w:rPr>
        <w:t>Named properties only if this brief names them. Do not add others.</w:t>
      </w:r>
    </w:p>
    <w:p>
      <w:pPr>
        <w:pStyle w:val="ListBullet"/>
      </w:pPr>
      <w:r>
        <w:rPr>
          <w:rFonts w:ascii="Calibri" w:hAnsi="Calibri"/>
          <w:sz w:val="22"/>
        </w:rPr>
        <w:t>Institutional voice. Short. LUCI is the means, not the hero speech.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