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Wave 1 — Spotlight blog: announcement volume</w:t>
      </w:r>
    </w:p>
    <w:p/>
    <w:p>
      <w:r>
        <w:rPr>
          <w:rFonts w:ascii="Calibri" w:hAnsi="Calibri"/>
          <w:b/>
          <w:color w:val="0A161C"/>
          <w:sz w:val="22"/>
        </w:rPr>
        <w:t>Topic:</w:t>
      </w:r>
      <w:r>
        <w:rPr>
          <w:rFonts w:ascii="Calibri" w:hAnsi="Calibri"/>
          <w:b w:val="0"/>
          <w:color w:val="0A161C"/>
          <w:sz w:val="22"/>
        </w:rPr>
        <w:t xml:space="preserve"> Not every announcement should be the same volume.</w:t>
      </w:r>
    </w:p>
    <w:p>
      <w:r>
        <w:rPr>
          <w:rFonts w:ascii="Calibri" w:hAnsi="Calibri"/>
          <w:b/>
          <w:color w:val="0A161C"/>
          <w:sz w:val="22"/>
        </w:rPr>
        <w:t>Persona:</w:t>
      </w:r>
      <w:r>
        <w:rPr>
          <w:rFonts w:ascii="Calibri" w:hAnsi="Calibri"/>
          <w:b w:val="0"/>
          <w:color w:val="0A161C"/>
          <w:sz w:val="22"/>
        </w:rPr>
        <w:t xml:space="preserve"> Property A/V, ops, and guest-experience leads who still blast every page at one level.</w:t>
      </w:r>
    </w:p>
    <w:p>
      <w:r>
        <w:rPr>
          <w:rFonts w:ascii="Calibri" w:hAnsi="Calibri"/>
          <w:b/>
          <w:color w:val="0A161C"/>
          <w:sz w:val="22"/>
        </w:rPr>
        <w:t>Source:</w:t>
      </w:r>
      <w:r>
        <w:rPr>
          <w:rFonts w:ascii="Calibri" w:hAnsi="Calibri"/>
          <w:b w:val="0"/>
          <w:color w:val="0A161C"/>
          <w:sz w:val="22"/>
        </w:rPr>
        <w:t xml:space="preserve"> The Signal, Issue 03 (August 2026), “Not every announcement should be the same volume.” Recast as a current-LUCI feature spotlight.</w:t>
      </w:r>
    </w:p>
    <w:p>
      <w:r>
        <w:rPr>
          <w:rFonts w:ascii="Calibri" w:hAnsi="Calibri"/>
          <w:b/>
          <w:color w:val="0A161C"/>
          <w:sz w:val="22"/>
        </w:rPr>
        <w:t>CTA:</w:t>
      </w:r>
      <w:r>
        <w:rPr>
          <w:rFonts w:ascii="Calibri" w:hAnsi="Calibri"/>
          <w:b w:val="0"/>
          <w:color w:val="0A161C"/>
          <w:sz w:val="22"/>
        </w:rPr>
        <w:t xml:space="preserve"> Book a walkthrough. Hear how announcements are scoped in LUCI.</w:t>
      </w:r>
    </w:p>
    <w:p/>
    <w:p>
      <w:r>
        <w:t>**Cover:**</w:t>
      </w:r>
    </w:p>
    <w:p>
      <w:pPr>
        <w:pStyle w:val="ListBullet"/>
      </w:pPr>
      <w:r>
        <w:rPr>
          <w:rFonts w:ascii="Calibri" w:hAnsi="Calibri"/>
          <w:sz w:val="22"/>
        </w:rPr>
        <w:t>The problem: one volume for bingo, emergency, and “the buffet is open” trains guests to ignore all of it — or hate all of it.</w:t>
      </w:r>
    </w:p>
    <w:p>
      <w:pPr>
        <w:pStyle w:val="ListBullet"/>
      </w:pPr>
      <w:r>
        <w:rPr>
          <w:rFonts w:ascii="Calibri" w:hAnsi="Calibri"/>
          <w:sz w:val="22"/>
        </w:rPr>
        <w:t>The feature: announcement levels in current LUCI, by job, not one slider for the building.</w:t>
      </w:r>
    </w:p>
    <w:p>
      <w:pPr>
        <w:pStyle w:val="ListBullet"/>
      </w:pPr>
      <w:r>
        <w:rPr>
          <w:rFonts w:ascii="Calibri" w:hAnsi="Calibri"/>
          <w:sz w:val="22"/>
        </w:rPr>
        <w:t>The benefit: the guest-facing A/V matches the message.</w:t>
      </w:r>
    </w:p>
    <w:p>
      <w:pPr>
        <w:pStyle w:val="ListBullet"/>
      </w:pPr>
      <w:r>
        <w:rPr>
          <w:rFonts w:ascii="Calibri" w:hAnsi="Calibri"/>
          <w:sz w:val="22"/>
        </w:rPr>
        <w:t>What they can do: keep routine pages in their place; let the ones that must cut through, cut through.</w:t>
      </w:r>
    </w:p>
    <w:p>
      <w:pPr>
        <w:pStyle w:val="ListBullet"/>
      </w:pPr>
      <w:r>
        <w:rPr>
          <w:rFonts w:ascii="Calibri" w:hAnsi="Calibri"/>
          <w:sz w:val="22"/>
        </w:rPr>
        <w:t>Optional teaser that shows the move (never “easy”): the announcement has a level, the way a zone has a look.</w:t>
      </w:r>
    </w:p>
    <w:p>
      <w:pPr>
        <w:pStyle w:val="ListBullet"/>
      </w:pPr>
      <w:r>
        <w:rPr>
          <w:rFonts w:ascii="Calibri" w:hAnsi="Calibri"/>
          <w:sz w:val="22"/>
        </w:rPr>
        <w:t>Always A/V. No New LUCI dump.</w:t>
      </w:r>
    </w:p>
    <w:p/>
    <w:p>
      <w:r>
        <w:t>Constraints for every piece</w:t>
      </w:r>
    </w:p>
    <w:p>
      <w:pPr>
        <w:pStyle w:val="ListBullet"/>
      </w:pPr>
      <w:r>
        <w:rPr>
          <w:rFonts w:ascii="Calibri" w:hAnsi="Calibri"/>
          <w:sz w:val="22"/>
        </w:rPr>
        <w:t>Readers are new prospects (property A/V, IT, ops leadership). Not a customer operating manual.</w:t>
      </w:r>
    </w:p>
    <w:p>
      <w:pPr>
        <w:pStyle w:val="ListBullet"/>
      </w:pPr>
      <w:r>
        <w:rPr>
          <w:rFonts w:ascii="Calibri" w:hAnsi="Calibri"/>
          <w:sz w:val="22"/>
        </w:rPr>
        <w:t>Always write A/V.</w:t>
      </w:r>
    </w:p>
    <w:p>
      <w:pPr>
        <w:pStyle w:val="ListBullet"/>
      </w:pPr>
      <w:r>
        <w:rPr>
          <w:rFonts w:ascii="Calibri" w:hAnsi="Calibri"/>
          <w:sz w:val="22"/>
        </w:rPr>
        <w:t>LUCI works with and absorbs the systems already on the floor. It does not replace them. Do not name partners. Never call LUCI a layer.</w:t>
      </w:r>
    </w:p>
    <w:p>
      <w:pPr>
        <w:pStyle w:val="ListBullet"/>
      </w:pPr>
      <w:r>
        <w:rPr>
          <w:rFonts w:ascii="Calibri" w:hAnsi="Calibri"/>
          <w:sz w:val="22"/>
        </w:rPr>
        <w:t>New LUCI is beta, property by property. Not a public splash. Do not write “we launched.”</w:t>
      </w:r>
    </w:p>
    <w:p>
      <w:pPr>
        <w:pStyle w:val="ListBullet"/>
      </w:pPr>
      <w:r>
        <w:rPr>
          <w:rFonts w:ascii="Calibri" w:hAnsi="Calibri"/>
          <w:sz w:val="22"/>
        </w:rPr>
        <w:t>Do not invent ROI, percentages, or extra stats. Only facts in this brief.</w:t>
      </w:r>
    </w:p>
    <w:p>
      <w:pPr>
        <w:pStyle w:val="ListBullet"/>
      </w:pPr>
      <w:r>
        <w:rPr>
          <w:rFonts w:ascii="Calibri" w:hAnsi="Calibri"/>
          <w:sz w:val="22"/>
        </w:rPr>
        <w:t>Never write the word “easy.” If a teaser shows the move, show the move.</w:t>
      </w:r>
    </w:p>
    <w:p>
      <w:pPr>
        <w:pStyle w:val="ListBullet"/>
      </w:pPr>
      <w:r>
        <w:rPr>
          <w:rFonts w:ascii="Calibri" w:hAnsi="Calibri"/>
          <w:sz w:val="22"/>
        </w:rPr>
        <w:t>Named properties only if this brief names them. Do not add others.</w:t>
      </w:r>
    </w:p>
    <w:p>
      <w:pPr>
        <w:pStyle w:val="ListBullet"/>
      </w:pPr>
      <w:r>
        <w:rPr>
          <w:rFonts w:ascii="Calibri" w:hAnsi="Calibri"/>
          <w:sz w:val="22"/>
        </w:rPr>
        <w:t>Institutional voice. Short. LUCI is the means, not the hero speech.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