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Spotlight blog: lighting in LUCI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Lighting lives with the rest of the A/V.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Property A/V and ops who think lighting is a separate console, a separate vendor, a separate night.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02 (July 2026), “Did you know you can manage lighting through LUCI?” Recast as a current-LUCI feature spotlight. Pair later with Mike’s lighting-as-design (Wave 2) if we have both; this piece must stand alone.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See lighting on the same interface as the floor.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problem: lighting is treated as another system to staff, another box to learn.</w:t>
      </w:r>
    </w:p>
    <w:p>
      <w:pPr>
        <w:pStyle w:val="ListBullet"/>
      </w:pPr>
      <w:r>
        <w:rPr>
          <w:rFonts w:ascii="Calibri" w:hAnsi="Calibri"/>
          <w:sz w:val="22"/>
        </w:rPr>
        <w:t>The feature: manage lighting in current LUCI, with the displays, audio, and sources.</w:t>
      </w:r>
    </w:p>
    <w:p>
      <w:pPr>
        <w:pStyle w:val="ListBullet"/>
      </w:pPr>
      <w:r>
        <w:rPr>
          <w:rFonts w:ascii="Calibri" w:hAnsi="Calibri"/>
          <w:sz w:val="22"/>
        </w:rPr>
        <w:t>The benefit: one place to run the room, not a lighting night and an A/V night.</w:t>
      </w:r>
    </w:p>
    <w:p>
      <w:pPr>
        <w:pStyle w:val="ListBullet"/>
      </w:pPr>
      <w:r>
        <w:rPr>
          <w:rFonts w:ascii="Calibri" w:hAnsi="Calibri"/>
          <w:sz w:val="22"/>
        </w:rPr>
        <w:t>What they can do: change looks, zones, and levels without leaving the interface that already runs the property.</w:t>
      </w:r>
    </w:p>
    <w:p>
      <w:pPr>
        <w:pStyle w:val="ListBullet"/>
      </w:pPr>
      <w:r>
        <w:rPr>
          <w:rFonts w:ascii="Calibri" w:hAnsi="Calibri"/>
          <w:sz w:val="22"/>
        </w:rPr>
        <w:t>Optional teaser that shows the move (never “easy”): the lighting look is a control in LUCI, same as a source.</w:t>
      </w:r>
    </w:p>
    <w:p>
      <w:pPr>
        <w:pStyle w:val="ListBullet"/>
      </w:pPr>
      <w:r>
        <w:rPr>
          <w:rFonts w:ascii="Calibri" w:hAnsi="Calibri"/>
          <w:sz w:val="22"/>
        </w:rPr>
        <w:t>Do not dump New LUCI. Do not design a booth checklist.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