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3 — Quarterly video: Where LUCI has been (first installment)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Public projects, in motion. First quarter installment only.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Prospects who believe case studies more than claims.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Already-public photos and footage from Ameristar, Tachi Palace, Sam’s Town, Yaamava. </w:t>
      </w:r>
      <w:r>
        <w:rPr>
          <w:rFonts w:ascii="Calibri" w:hAnsi="Calibri"/>
          <w:b/>
          <w:color w:val="0A161C"/>
          <w:sz w:val="22"/>
        </w:rPr>
        <w:t>Not Aliante until the live page is clean.</w:t>
      </w:r>
      <w:r>
        <w:rPr>
          <w:rFonts w:ascii="Calibri" w:hAnsi="Calibri"/>
          <w:b w:val="0"/>
          <w:color w:val="0A161C"/>
          <w:sz w:val="22"/>
        </w:rPr>
        <w:t xml:space="preserve"> Not EverPass. Use Jane’s current video framework when this is assigned as a make.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End on a walkthrough. Point at the case-study pages.</w:t>
      </w:r>
    </w:p>
    <w:p/>
    <w:p>
      <w:r>
        <w:t>**Cover:**</w:t>
      </w:r>
    </w:p>
    <w:p>
      <w:pPr>
        <w:pStyle w:val="ListBullet"/>
      </w:pPr>
      <w:r>
        <w:rPr>
          <w:rFonts w:ascii="Calibri" w:hAnsi="Calibri"/>
          <w:sz w:val="22"/>
        </w:rPr>
        <w:t>One installment: where LUCI has been, not a year-in-review reel.</w:t>
      </w:r>
    </w:p>
    <w:p>
      <w:pPr>
        <w:pStyle w:val="ListBullet"/>
      </w:pPr>
      <w:r>
        <w:rPr>
          <w:rFonts w:ascii="Calibri" w:hAnsi="Calibri"/>
          <w:sz w:val="22"/>
        </w:rPr>
        <w:t>Named clients only if already public (the four above). No new names.</w:t>
      </w:r>
    </w:p>
    <w:p>
      <w:pPr>
        <w:pStyle w:val="ListBullet"/>
      </w:pPr>
      <w:r>
        <w:rPr>
          <w:rFonts w:ascii="Calibri" w:hAnsi="Calibri"/>
          <w:sz w:val="22"/>
        </w:rPr>
        <w:t>Argument: one interface, A/V still in the picture, the house did not grow a second stack.</w:t>
      </w:r>
    </w:p>
    <w:p>
      <w:pPr>
        <w:pStyle w:val="ListBullet"/>
      </w:pPr>
      <w:r>
        <w:rPr>
          <w:rFonts w:ascii="Calibri" w:hAnsi="Calibri"/>
          <w:sz w:val="22"/>
        </w:rPr>
        <w:t>No “largest in Las Vegas.” No invented stats. No partner names. No replace. Never write “easy.”</w:t>
      </w:r>
    </w:p>
    <w:p>
      <w:pPr>
        <w:pStyle w:val="ListBullet"/>
      </w:pPr>
      <w:r>
        <w:rPr>
          <w:rFonts w:ascii="Calibri" w:hAnsi="Calibri"/>
          <w:sz w:val="22"/>
        </w:rPr>
        <w:t>Do not search undeclared folders in this brief. When it is time to make, assign under the current video framework.</w:t>
      </w:r>
    </w:p>
    <w:p>
      <w:pPr>
        <w:pStyle w:val="ListBullet"/>
      </w:pPr>
      <w:r>
        <w:rPr>
          <w:rFonts w:ascii="Calibri" w:hAnsi="Calibri"/>
          <w:sz w:val="22"/>
        </w:rPr>
        <w:t>This is not the consolidation video (sister brief). That one is the proof picture in motion. This one is the places.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