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A161C"/>
        </w:rPr>
        <w:t>Four tactics for 2026</w:t>
      </w:r>
    </w:p>
    <w:p/>
    <w:p>
      <w:r>
        <w:rPr>
          <w:rFonts w:ascii="Calibri" w:hAnsi="Calibri"/>
          <w:b/>
          <w:color w:val="0A161C"/>
          <w:sz w:val="22"/>
        </w:rPr>
        <w:t>For Jane. Revised 3 Sep 2026.</w:t>
      </w:r>
    </w:p>
    <w:p/>
    <w:p>
      <w:r>
        <w:rPr>
          <w:rFonts w:ascii="Calibri" w:hAnsi="Calibri"/>
          <w:color w:val="0A161C"/>
          <w:sz w:val="22"/>
        </w:rPr>
        <w:t>LUCI is already running Signal, nurture, feature and case-study blogs, checklists, LinkedIn-until-launch, the Field Activation Guide, and Mike’s columns. Those stay. These four are new work: get cited when a property asks an answer engine about A/V, show the jobs on YouTube the way Google’s overviews actually pull video, close the Capabilities overview’s buying-committee gaps, and publish a named field read on property A/V that a model cannot invent.</w:t>
      </w:r>
    </w:p>
    <w:p/>
    <w:p>
      <w:r>
        <w:rPr>
          <w:rFonts w:ascii="Calibri" w:hAnsi="Calibri"/>
          <w:color w:val="0A161C"/>
          <w:sz w:val="22"/>
        </w:rPr>
        <w:t>No public splash. New LUCI stays beta, property by property. Always A/V. LUCI works with the systems already on the floor; it does not replace them. No partner names. No “we launched.”</w:t>
      </w:r>
    </w:p>
    <w:p/>
    <w:p/>
    <w:p>
      <w:pPr>
        <w:pStyle w:val="Heading2"/>
      </w:pPr>
      <w:r>
        <w:rPr>
          <w:color w:val="0A161C"/>
        </w:rPr>
        <w:t>1. Be the answer</w:t>
      </w:r>
    </w:p>
    <w:p/>
    <w:p>
      <w:r>
        <w:rPr>
          <w:rFonts w:ascii="Calibri" w:hAnsi="Calibri"/>
          <w:b/>
          <w:color w:val="0A161C"/>
          <w:sz w:val="22"/>
        </w:rPr>
        <w:t>What it is.</w:t>
      </w:r>
      <w:r>
        <w:rPr>
          <w:rFonts w:ascii="Calibri" w:hAnsi="Calibri"/>
          <w:color w:val="0A161C"/>
          <w:sz w:val="22"/>
        </w:rPr>
        <w:t xml:space="preserve"> One program, not two. Answer-engine optimization (how Copilot, ChatGPT, Gemini, Perplexity talk about the category) plus entity binding (so those engines know LUCI is a real A/V company, not a string). The site answers the questions properties actually type: what can we control from one seat, how does lighting stay in the same look as the walls, can we undo last night. One locked sentence, used everywhere. Wikidata. Schema `sameAs` pointing at the same entity.</w:t>
      </w:r>
    </w:p>
    <w:p/>
    <w:p>
      <w:r>
        <w:rPr>
          <w:rFonts w:ascii="Calibri" w:hAnsi="Calibri"/>
          <w:b/>
          <w:color w:val="0A161C"/>
          <w:sz w:val="22"/>
        </w:rPr>
        <w:t>Why it’s 2026.</w:t>
      </w:r>
      <w:r>
        <w:rPr>
          <w:rFonts w:ascii="Calibri" w:hAnsi="Calibri"/>
          <w:color w:val="0A161C"/>
          <w:sz w:val="22"/>
        </w:rPr>
        <w:t xml:space="preserve"> Buyers start in genAI search, then they check the answer with people they trust. Forrester, January 2026 (*The State of Business Buying*): genAI is the starting point; the information is often incomplete, so groups go to colleagues and outside voices to de-risk. HubSpot’s AEO work (knowledge base, 27 Aug 2026) is the practical version: track whether you appear in ChatGPT, Gemini, and Perplexity on the prompts that matter. The Princeton GEO paper (Aggarwal et al., KDD 2024) is why the pages have to be citable — quotations, specific facts, named properties already public — not keyword stuffing. We do not treat their test lift as a LUCI forecast.</w:t>
      </w:r>
    </w:p>
    <w:p/>
    <w:p>
      <w:r>
        <w:rPr>
          <w:rFonts w:ascii="Calibri" w:hAnsi="Calibri"/>
          <w:b/>
          <w:color w:val="0A161C"/>
          <w:sz w:val="22"/>
        </w:rPr>
        <w:t>How LUCI implements.</w:t>
      </w:r>
    </w:p>
    <w:p>
      <w:pPr>
        <w:pStyle w:val="ListBullet"/>
      </w:pPr>
      <w:r>
        <w:rPr>
          <w:rFonts w:ascii="Calibri" w:hAnsi="Calibri"/>
          <w:color w:val="0A161C"/>
          <w:sz w:val="22"/>
        </w:rPr>
        <w:t>Lock one sentence and do not freelance it: *The Orchestration Engine for Enterprise Multimedia. One interface to control, automate, and execute the entire guest experience.*</w:t>
      </w:r>
    </w:p>
    <w:p>
      <w:pPr>
        <w:pStyle w:val="ListBullet"/>
      </w:pPr>
      <w:r>
        <w:rPr>
          <w:rFonts w:ascii="Calibri" w:hAnsi="Calibri"/>
          <w:color w:val="0A161C"/>
          <w:sz w:val="22"/>
        </w:rPr>
        <w:t>Bind the entity: Wikidata item for LUCI Systems; Organization schema on lucisystems.com with `sameAs` to that item and the company LinkedIn. Same legal name everywhere.</w:t>
      </w:r>
    </w:p>
    <w:p>
      <w:pPr>
        <w:pStyle w:val="ListBullet"/>
      </w:pPr>
      <w:r>
        <w:rPr>
          <w:rFonts w:ascii="Calibri" w:hAnsi="Calibri"/>
          <w:color w:val="0A161C"/>
          <w:sz w:val="22"/>
        </w:rPr>
        <w:t>Make the live site answer category A/V questions in the first short block of the page. Wave 1 spotlights and the four live case-study doors are the corpus once they ship. Do not write a second “what is LUCI” page.</w:t>
      </w:r>
    </w:p>
    <w:p>
      <w:pPr>
        <w:pStyle w:val="ListBullet"/>
      </w:pPr>
      <w:r>
        <w:rPr>
          <w:rFonts w:ascii="Calibri" w:hAnsi="Calibri"/>
          <w:color w:val="0A161C"/>
          <w:sz w:val="22"/>
        </w:rPr>
        <w:t>Track a short prompt list in ChatGPT, Gemini, and Perplexity (HubSpot AEO or the equivalent). The test is citation, not traffic.</w:t>
      </w:r>
    </w:p>
    <w:p>
      <w:pPr>
        <w:pStyle w:val="ListBullet"/>
      </w:pPr>
      <w:r>
        <w:rPr>
          <w:rFonts w:ascii="Calibri" w:hAnsi="Calibri"/>
          <w:color w:val="0A161C"/>
          <w:sz w:val="22"/>
        </w:rPr>
        <w:t>Never name partners. Never write that LUCI replaces the stack.</w:t>
      </w:r>
    </w:p>
    <w:p/>
    <w:p>
      <w:r>
        <w:rPr>
          <w:rFonts w:ascii="Calibri" w:hAnsi="Calibri"/>
          <w:b/>
          <w:color w:val="0A161C"/>
          <w:sz w:val="22"/>
        </w:rPr>
        <w:t>Resources.</w:t>
      </w:r>
      <w:r>
        <w:rPr>
          <w:rFonts w:ascii="Calibri" w:hAnsi="Calibri"/>
          <w:color w:val="0A161C"/>
          <w:sz w:val="22"/>
        </w:rPr>
        <w:t xml:space="preserve"> </w:t>
      </w:r>
      <w:r>
        <w:rPr>
          <w:rFonts w:ascii="Calibri" w:hAnsi="Calibri"/>
          <w:color w:val="2B9E80"/>
          <w:sz w:val="22"/>
          <w:u w:val="single"/>
        </w:rPr>
        <w:t>HubSpot: Set up and analyze AEO</w:t>
      </w:r>
      <w:r>
        <w:rPr>
          <w:rFonts w:ascii="Calibri" w:hAnsi="Calibri"/>
          <w:color w:val="0A161C"/>
          <w:sz w:val="22"/>
        </w:rPr>
        <w:t xml:space="preserve"> (updated 27 Aug 2026). </w:t>
      </w:r>
      <w:r>
        <w:rPr>
          <w:rFonts w:ascii="Calibri" w:hAnsi="Calibri"/>
          <w:color w:val="2B9E80"/>
          <w:sz w:val="22"/>
          <w:u w:val="single"/>
        </w:rPr>
        <w:t>HubSpot AEO guide</w:t>
      </w:r>
      <w:r>
        <w:rPr>
          <w:rFonts w:ascii="Calibri" w:hAnsi="Calibri"/>
          <w:color w:val="0A161C"/>
          <w:sz w:val="22"/>
        </w:rPr>
        <w:t xml:space="preserve">. </w:t>
      </w:r>
      <w:r>
        <w:rPr>
          <w:rFonts w:ascii="Calibri" w:hAnsi="Calibri"/>
          <w:color w:val="2B9E80"/>
          <w:sz w:val="22"/>
          <w:u w:val="single"/>
        </w:rPr>
        <w:t>GEO: Generative Engine Optimization</w:t>
      </w:r>
      <w:r>
        <w:rPr>
          <w:rFonts w:ascii="Calibri" w:hAnsi="Calibri"/>
          <w:color w:val="0A161C"/>
          <w:sz w:val="22"/>
        </w:rPr>
        <w:t xml:space="preserve"> (Aggarwal, Murahari, Rajpurohit, Kalyan, Narasimhan, Deshpande; KDD 2024). </w:t>
      </w:r>
      <w:r>
        <w:rPr>
          <w:rFonts w:ascii="Calibri" w:hAnsi="Calibri"/>
          <w:color w:val="2B9E80"/>
          <w:sz w:val="22"/>
          <w:u w:val="single"/>
        </w:rPr>
        <w:t>Forrester press: The State of Business Buying, 2026</w:t>
      </w:r>
      <w:r>
        <w:rPr>
          <w:rFonts w:ascii="Calibri" w:hAnsi="Calibri"/>
          <w:color w:val="0A161C"/>
          <w:sz w:val="22"/>
        </w:rPr>
        <w:t xml:space="preserve"> (21 Jan 2026).</w:t>
      </w:r>
    </w:p>
    <w:p/>
    <w:p/>
    <w:p>
      <w:pPr>
        <w:pStyle w:val="Heading2"/>
      </w:pPr>
      <w:r>
        <w:rPr>
          <w:color w:val="0A161C"/>
        </w:rPr>
        <w:t>2. YouTube, one job per video</w:t>
      </w:r>
    </w:p>
    <w:p/>
    <w:p>
      <w:r>
        <w:rPr>
          <w:rFonts w:ascii="Calibri" w:hAnsi="Calibri"/>
          <w:b/>
          <w:color w:val="0A161C"/>
          <w:sz w:val="22"/>
        </w:rPr>
        <w:t>What it is.</w:t>
      </w:r>
      <w:r>
        <w:rPr>
          <w:rFonts w:ascii="Calibri" w:hAnsi="Calibri"/>
          <w:color w:val="0A161C"/>
          <w:sz w:val="22"/>
        </w:rPr>
        <w:t xml:space="preserve"> Short how-to videos engineered so Google AI Overviews can cite them. Not LinkedIn native video. Not the quarterly recap. One query per film. Chapters, human-checked captions, title is the question. Shot in a lab or back-of-house. No live floor. No partner logos.</w:t>
      </w:r>
    </w:p>
    <w:p/>
    <w:p>
      <w:r>
        <w:rPr>
          <w:rFonts w:ascii="Calibri" w:hAnsi="Calibri"/>
          <w:b/>
          <w:color w:val="0A161C"/>
          <w:sz w:val="22"/>
        </w:rPr>
        <w:t>Why it’s 2026.</w:t>
      </w:r>
      <w:r>
        <w:rPr>
          <w:rFonts w:ascii="Calibri" w:hAnsi="Calibri"/>
          <w:color w:val="0A161C"/>
          <w:sz w:val="22"/>
        </w:rPr>
        <w:t xml:space="preserve"> BrightEdge’s AI Overview tracking is why this is YouTube, not a second host: Overviews cite YouTube as the video source, and the citations cluster on instructional how-to and visual demonstration, not brand films. ChatGPT, when it cites YouTube, leans even harder into how-to. A quarterly “where we’ve been” video does not answer “how do I get last night’s look back.”</w:t>
      </w:r>
    </w:p>
    <w:p/>
    <w:p>
      <w:r>
        <w:rPr>
          <w:rFonts w:ascii="Calibri" w:hAnsi="Calibri"/>
          <w:b/>
          <w:color w:val="0A161C"/>
          <w:sz w:val="22"/>
        </w:rPr>
        <w:t>How LUCI implements.</w:t>
      </w:r>
    </w:p>
    <w:p>
      <w:pPr>
        <w:pStyle w:val="ListBullet"/>
      </w:pPr>
      <w:r>
        <w:rPr>
          <w:rFonts w:ascii="Calibri" w:hAnsi="Calibri"/>
          <w:color w:val="0A161C"/>
          <w:sz w:val="22"/>
        </w:rPr>
        <w:t>Four films, matching the jobs already locked for Wave 1 — not new topics: does the floor match at open; lighting in the same look as the room; undo a look; announcement levels that guests still hear.</w:t>
      </w:r>
    </w:p>
    <w:p>
      <w:pPr>
        <w:pStyle w:val="ListBullet"/>
      </w:pPr>
      <w:r>
        <w:rPr>
          <w:rFonts w:ascii="Calibri" w:hAnsi="Calibri"/>
          <w:color w:val="0A161C"/>
          <w:sz w:val="22"/>
        </w:rPr>
        <w:t>One query, one video. Description opens with a quotable answer, then the chapter list.</w:t>
      </w:r>
    </w:p>
    <w:p>
      <w:pPr>
        <w:pStyle w:val="ListBullet"/>
      </w:pPr>
      <w:r>
        <w:rPr>
          <w:rFonts w:ascii="Calibri" w:hAnsi="Calibri"/>
          <w:color w:val="0A161C"/>
          <w:sz w:val="22"/>
        </w:rPr>
        <w:t>Lab / back-of-house only. No customer floor. No partner chrome. No New LUCI dump.</w:t>
      </w:r>
    </w:p>
    <w:p>
      <w:pPr>
        <w:pStyle w:val="ListBullet"/>
      </w:pPr>
      <w:r>
        <w:rPr>
          <w:rFonts w:ascii="Calibri" w:hAnsi="Calibri"/>
          <w:color w:val="0A161C"/>
          <w:sz w:val="22"/>
        </w:rPr>
        <w:t>Waits on Jane’s new video framework. The old case-study video skills stay retired.</w:t>
      </w:r>
    </w:p>
    <w:p>
      <w:pPr>
        <w:pStyle w:val="ListBullet"/>
      </w:pPr>
      <w:r>
        <w:rPr>
          <w:rFonts w:ascii="Calibri" w:hAnsi="Calibri"/>
          <w:color w:val="0A161C"/>
          <w:sz w:val="22"/>
        </w:rPr>
        <w:t>This is not Signal, not Where LUCI has been, not Aliante.</w:t>
      </w:r>
    </w:p>
    <w:p/>
    <w:p>
      <w:r>
        <w:rPr>
          <w:rFonts w:ascii="Calibri" w:hAnsi="Calibri"/>
          <w:b/>
          <w:color w:val="0A161C"/>
          <w:sz w:val="22"/>
        </w:rPr>
        <w:t>Resources.</w:t>
      </w:r>
      <w:r>
        <w:rPr>
          <w:rFonts w:ascii="Calibri" w:hAnsi="Calibri"/>
          <w:color w:val="0A161C"/>
          <w:sz w:val="22"/>
        </w:rPr>
        <w:t xml:space="preserve"> </w:t>
      </w:r>
      <w:r>
        <w:rPr>
          <w:rFonts w:ascii="Calibri" w:hAnsi="Calibri"/>
          <w:color w:val="2B9E80"/>
          <w:sz w:val="22"/>
          <w:u w:val="single"/>
        </w:rPr>
        <w:t>BrightEdge: YouTube’s growing impact on Google AI Overviews</w:t>
      </w:r>
      <w:r>
        <w:rPr>
          <w:rFonts w:ascii="Calibri" w:hAnsi="Calibri"/>
          <w:color w:val="0A161C"/>
          <w:sz w:val="22"/>
        </w:rPr>
        <w:t xml:space="preserve">. </w:t>
      </w:r>
      <w:r>
        <w:rPr>
          <w:rFonts w:ascii="Calibri" w:hAnsi="Calibri"/>
          <w:color w:val="2B9E80"/>
          <w:sz w:val="22"/>
          <w:u w:val="single"/>
        </w:rPr>
        <w:t>BrightEdge: How Google AI Overviews and ChatGPT use YouTube differently</w:t>
      </w:r>
      <w:r>
        <w:rPr>
          <w:rFonts w:ascii="Calibri" w:hAnsi="Calibri"/>
          <w:color w:val="0A161C"/>
          <w:sz w:val="22"/>
        </w:rPr>
        <w:t>.</w:t>
      </w:r>
    </w:p>
    <w:p/>
    <w:p/>
    <w:p>
      <w:pPr>
        <w:pStyle w:val="Heading2"/>
      </w:pPr>
      <w:r>
        <w:rPr>
          <w:color w:val="0A161C"/>
        </w:rPr>
        <w:t>3. One story the committee can share</w:t>
      </w:r>
    </w:p>
    <w:p/>
    <w:p>
      <w:r>
        <w:rPr>
          <w:rFonts w:ascii="Calibri" w:hAnsi="Calibri"/>
          <w:b/>
          <w:color w:val="0A161C"/>
          <w:sz w:val="22"/>
        </w:rPr>
        <w:t>What it is.</w:t>
      </w:r>
      <w:r>
        <w:rPr>
          <w:rFonts w:ascii="Calibri" w:hAnsi="Calibri"/>
          <w:color w:val="0A161C"/>
          <w:sz w:val="22"/>
        </w:rPr>
        <w:t xml:space="preserve"> The buying-committee packet already exists as the Capabilities overview (`ui_kits/sales/capabilities-document.html`). Do not rebuild it. Close four gaps: finance/procurement framing from the budgetary estimate template; a technical/security answer sheet; one forwardable variant not addressed to a property or signed by Mark; and plain-language objections a champion can use with the GM. The opposite of 1:1 personalization. Mark co-owns the use.</w:t>
      </w:r>
    </w:p>
    <w:p/>
    <w:p>
      <w:r>
        <w:rPr>
          <w:rFonts w:ascii="Calibri" w:hAnsi="Calibri"/>
          <w:b/>
          <w:color w:val="0A161C"/>
          <w:sz w:val="22"/>
        </w:rPr>
        <w:t>Why it’s 2026.</w:t>
      </w:r>
      <w:r>
        <w:rPr>
          <w:rFonts w:ascii="Calibri" w:hAnsi="Calibri"/>
          <w:color w:val="0A161C"/>
          <w:sz w:val="22"/>
        </w:rPr>
        <w:t xml:space="preserve"> Forrester (Jan 2026): a typical decision now has 13 internal stakeholders and nine external influencers; groups that size exist because they de-risk the spend. Gartner (7 May 2025, 632 B2B buyers): 74% of buying teams show unhealthy conflict; content aimed at the group helps consensus, content aimed at the individual hurts it (Gartner: group-level relevance +20% on consensus, individual-level relevance −59%). Edelman–LinkedIn 2025: hidden buyers (finance, legal, ops who never take the demo) still read thought leadership and will advocate if they have something they can share. The kit is for people Mark will not be on a call with.</w:t>
      </w:r>
    </w:p>
    <w:p/>
    <w:p>
      <w:r>
        <w:rPr>
          <w:rFonts w:ascii="Calibri" w:hAnsi="Calibri"/>
          <w:b/>
          <w:color w:val="0A161C"/>
          <w:sz w:val="22"/>
        </w:rPr>
        <w:t>How LUCI implements.</w:t>
      </w:r>
    </w:p>
    <w:p>
      <w:pPr>
        <w:pStyle w:val="ListBullet"/>
      </w:pPr>
      <w:r>
        <w:rPr>
          <w:rFonts w:ascii="Calibri" w:hAnsi="Calibri"/>
          <w:color w:val="0A161C"/>
          <w:sz w:val="22"/>
        </w:rPr>
        <w:t>Keep the existing Capabilities overview as the shared story. Add only the four gap pieces above. Not a magazine. Not FAG.</w:t>
      </w:r>
    </w:p>
    <w:p>
      <w:pPr>
        <w:pStyle w:val="ListBullet"/>
      </w:pPr>
      <w:r>
        <w:rPr>
          <w:rFonts w:ascii="Calibri" w:hAnsi="Calibri"/>
          <w:color w:val="0A161C"/>
          <w:sz w:val="22"/>
        </w:rPr>
        <w:t>Group language, not persona forks. No “for the IT buyer” / “for the GM” remixes.</w:t>
      </w:r>
    </w:p>
    <w:p>
      <w:pPr>
        <w:pStyle w:val="ListBullet"/>
      </w:pPr>
      <w:r>
        <w:rPr>
          <w:rFonts w:ascii="Calibri" w:hAnsi="Calibri"/>
          <w:color w:val="0A161C"/>
          <w:sz w:val="22"/>
        </w:rPr>
        <w:t>Mark co-owns use and when it goes into a live conversation. Marketing does not mail it over a deal he or Mike is already in.</w:t>
      </w:r>
    </w:p>
    <w:p>
      <w:pPr>
        <w:pStyle w:val="ListBullet"/>
      </w:pPr>
      <w:r>
        <w:rPr>
          <w:rFonts w:ascii="Calibri" w:hAnsi="Calibri"/>
          <w:color w:val="0A161C"/>
          <w:sz w:val="22"/>
        </w:rPr>
        <w:t>Aliante stays out until that page is clean.</w:t>
      </w:r>
    </w:p>
    <w:p/>
    <w:p>
      <w:r>
        <w:rPr>
          <w:rFonts w:ascii="Calibri" w:hAnsi="Calibri"/>
          <w:b/>
          <w:color w:val="0A161C"/>
          <w:sz w:val="22"/>
        </w:rPr>
        <w:t>Resources.</w:t>
      </w:r>
      <w:r>
        <w:rPr>
          <w:rFonts w:ascii="Calibri" w:hAnsi="Calibri"/>
          <w:color w:val="0A161C"/>
          <w:sz w:val="22"/>
        </w:rPr>
        <w:t xml:space="preserve"> </w:t>
      </w:r>
      <w:r>
        <w:rPr>
          <w:rFonts w:ascii="Calibri" w:hAnsi="Calibri"/>
          <w:color w:val="2B9E80"/>
          <w:sz w:val="22"/>
          <w:u w:val="single"/>
        </w:rPr>
        <w:t>Forrester: The State of Business Buying, 2026</w:t>
      </w:r>
      <w:r>
        <w:rPr>
          <w:rFonts w:ascii="Calibri" w:hAnsi="Calibri"/>
          <w:color w:val="0A161C"/>
          <w:sz w:val="22"/>
        </w:rPr>
        <w:t xml:space="preserve">. </w:t>
      </w:r>
      <w:r>
        <w:rPr>
          <w:rFonts w:ascii="Calibri" w:hAnsi="Calibri"/>
          <w:color w:val="2B9E80"/>
          <w:sz w:val="22"/>
          <w:u w:val="single"/>
        </w:rPr>
        <w:t>Gartner, 7 May 2025: buying-group conflict and consensus</w:t>
      </w:r>
      <w:r>
        <w:rPr>
          <w:rFonts w:ascii="Calibri" w:hAnsi="Calibri"/>
          <w:color w:val="0A161C"/>
          <w:sz w:val="22"/>
        </w:rPr>
        <w:t xml:space="preserve">. </w:t>
      </w:r>
      <w:r>
        <w:rPr>
          <w:rFonts w:ascii="Calibri" w:hAnsi="Calibri"/>
          <w:color w:val="2B9E80"/>
          <w:sz w:val="22"/>
          <w:u w:val="single"/>
        </w:rPr>
        <w:t>Edelman–LinkedIn B2B Thought Leadership Impact Report, 2025</w:t>
      </w:r>
      <w:r>
        <w:rPr>
          <w:rFonts w:ascii="Calibri" w:hAnsi="Calibri"/>
          <w:color w:val="0A161C"/>
          <w:sz w:val="22"/>
        </w:rPr>
        <w:t>.</w:t>
      </w:r>
    </w:p>
    <w:p/>
    <w:p/>
    <w:p>
      <w:pPr>
        <w:pStyle w:val="Heading2"/>
      </w:pPr>
      <w:r>
        <w:rPr>
          <w:color w:val="0A161C"/>
        </w:rPr>
        <w:t>4. A named read on property A/V operations</w:t>
      </w:r>
    </w:p>
    <w:p/>
    <w:p>
      <w:r>
        <w:rPr>
          <w:rFonts w:ascii="Calibri" w:hAnsi="Calibri"/>
          <w:b/>
          <w:color w:val="0A161C"/>
          <w:sz w:val="22"/>
        </w:rPr>
        <w:t>What it is.</w:t>
      </w:r>
      <w:r>
        <w:rPr>
          <w:rFonts w:ascii="Calibri" w:hAnsi="Calibri"/>
          <w:color w:val="0A161C"/>
          <w:sz w:val="22"/>
        </w:rPr>
        <w:t xml:space="preserve"> An ungated, six-page industry read written from LUCI’s own field expertise: what installers and ops leads walk into across roughly twenty properties a year, where control fragments, and where the blockages are. It is not a survey, benchmark, or customer newsletter. Executive audience, not the operator.</w:t>
      </w:r>
    </w:p>
    <w:p/>
    <w:p>
      <w:r>
        <w:rPr>
          <w:rFonts w:ascii="Calibri" w:hAnsi="Calibri"/>
          <w:b/>
          <w:color w:val="0A161C"/>
          <w:sz w:val="22"/>
        </w:rPr>
        <w:t>Why it’s 2026.</w:t>
      </w:r>
      <w:r>
        <w:rPr>
          <w:rFonts w:ascii="Calibri" w:hAnsi="Calibri"/>
          <w:color w:val="0A161C"/>
          <w:sz w:val="22"/>
        </w:rPr>
        <w:t xml:space="preserve"> Answer engines need original, citable expertise. This gives LUCI a named, dated point of view grounded in field experience, without pretending we have survey data. It feeds the AEO corpus and gives finance, procurement, and executive readers a reason to understand the operational problem before a sales conversation.</w:t>
      </w:r>
    </w:p>
    <w:p/>
    <w:p>
      <w:r>
        <w:rPr>
          <w:rFonts w:ascii="Calibri" w:hAnsi="Calibri"/>
          <w:b/>
          <w:color w:val="0A161C"/>
          <w:sz w:val="22"/>
        </w:rPr>
        <w:t>How LUCI implements.</w:t>
      </w:r>
    </w:p>
    <w:p>
      <w:pPr>
        <w:pStyle w:val="ListBullet"/>
      </w:pPr>
      <w:r>
        <w:rPr>
          <w:rFonts w:ascii="Calibri" w:hAnsi="Calibri"/>
          <w:color w:val="0A161C"/>
          <w:sz w:val="22"/>
        </w:rPr>
        <w:t>Name and date the read. Mike and the field team validate the recurring patterns; marketing edits the argument.</w:t>
      </w:r>
    </w:p>
    <w:p>
      <w:pPr>
        <w:pStyle w:val="ListBullet"/>
      </w:pPr>
      <w:r>
        <w:rPr>
          <w:rFonts w:ascii="Calibri" w:hAnsi="Calibri"/>
          <w:color w:val="0A161C"/>
          <w:sz w:val="22"/>
        </w:rPr>
        <w:t>Cover fragmentation, handoffs, visibility, and the cost of operational blockage without invented percentages or ROI.</w:t>
      </w:r>
    </w:p>
    <w:p>
      <w:pPr>
        <w:pStyle w:val="ListBullet"/>
      </w:pPr>
      <w:r>
        <w:rPr>
          <w:rFonts w:ascii="Calibri" w:hAnsi="Calibri"/>
          <w:color w:val="0A161C"/>
          <w:sz w:val="22"/>
        </w:rPr>
        <w:t>Six pages, ungated, executive-readable. No partner names. No customer roster unless approved.</w:t>
      </w:r>
    </w:p>
    <w:p>
      <w:pPr>
        <w:pStyle w:val="ListBullet"/>
      </w:pPr>
      <w:r>
        <w:rPr>
          <w:rFonts w:ascii="Calibri" w:hAnsi="Calibri"/>
          <w:color w:val="0A161C"/>
          <w:sz w:val="22"/>
        </w:rPr>
        <w:t>Feed the strongest answer blocks into the website’s AEO corpus.</w:t>
      </w:r>
    </w:p>
    <w:p>
      <w:pPr>
        <w:pStyle w:val="ListBullet"/>
      </w:pPr>
      <w:r>
        <w:rPr>
          <w:rFonts w:ascii="Calibri" w:hAnsi="Calibri"/>
          <w:color w:val="0A161C"/>
          <w:sz w:val="22"/>
        </w:rPr>
        <w:t>This does not wait on New LUCI and does not include Aliante.</w:t>
      </w:r>
    </w:p>
    <w:p/>
    <w:p>
      <w:r>
        <w:rPr>
          <w:rFonts w:ascii="Calibri" w:hAnsi="Calibri"/>
          <w:b/>
          <w:color w:val="0A161C"/>
          <w:sz w:val="22"/>
        </w:rPr>
        <w:t>Resources.</w:t>
      </w:r>
      <w:r>
        <w:rPr>
          <w:rFonts w:ascii="Calibri" w:hAnsi="Calibri"/>
          <w:color w:val="0A161C"/>
          <w:sz w:val="22"/>
        </w:rPr>
        <w:t xml:space="preserve"> </w:t>
      </w:r>
      <w:r>
        <w:rPr>
          <w:rFonts w:ascii="Calibri" w:hAnsi="Calibri"/>
          <w:color w:val="2B9E80"/>
          <w:sz w:val="22"/>
          <w:u w:val="single"/>
        </w:rPr>
        <w:t>Forrester: The State of Business Buying, 2026</w:t>
      </w:r>
      <w:r>
        <w:rPr>
          <w:rFonts w:ascii="Calibri" w:hAnsi="Calibri"/>
          <w:color w:val="0A161C"/>
          <w:sz w:val="22"/>
        </w:rPr>
        <w:t xml:space="preserve"> and </w:t>
      </w:r>
      <w:r>
        <w:rPr>
          <w:rFonts w:ascii="Calibri" w:hAnsi="Calibri"/>
          <w:color w:val="2B9E80"/>
          <w:sz w:val="22"/>
          <w:u w:val="single"/>
        </w:rPr>
        <w:t>Edelman–LinkedIn B2B Thought Leadership Impact Report, 2025</w:t>
      </w:r>
      <w:r>
        <w:rPr>
          <w:rFonts w:ascii="Calibri" w:hAnsi="Calibri"/>
          <w:color w:val="0A161C"/>
          <w:sz w:val="22"/>
        </w:rPr>
        <w:t xml:space="preserve"> support the need for trusted, citable expertise. The content itself must come from LUCI’s field experience.</w:t>
      </w:r>
    </w:p>
    <w:p/>
    <w:p/>
    <w:p>
      <w:pPr>
        <w:pStyle w:val="Heading2"/>
      </w:pPr>
      <w:r>
        <w:rPr>
          <w:color w:val="0A161C"/>
        </w:rPr>
        <w:t>We considered</w:t>
      </w:r>
    </w:p>
    <w:p/>
    <w:p>
      <w:r>
        <w:rPr>
          <w:rFonts w:ascii="Calibri" w:hAnsi="Calibri"/>
          <w:color w:val="0A161C"/>
          <w:sz w:val="22"/>
        </w:rPr>
        <w:t>Not a sixth tactic.</w:t>
      </w:r>
    </w:p>
    <w:p/>
    <w:p>
      <w:pPr>
        <w:pStyle w:val="ListBullet"/>
      </w:pPr>
      <w:r>
        <w:rPr>
          <w:rFonts w:ascii="Calibri" w:hAnsi="Calibri"/>
          <w:b/>
          <w:color w:val="0A161C"/>
          <w:sz w:val="22"/>
        </w:rPr>
        <w:t>Dark social on AVIXA Xchange.</w:t>
      </w:r>
      <w:r>
        <w:rPr>
          <w:rFonts w:ascii="Calibri" w:hAnsi="Calibri"/>
          <w:color w:val="0A161C"/>
          <w:sz w:val="22"/>
        </w:rPr>
        <w:t xml:space="preserve"> Real room (</w:t>
      </w:r>
      <w:r>
        <w:rPr>
          <w:rFonts w:ascii="Calibri" w:hAnsi="Calibri"/>
          <w:color w:val="2B9E80"/>
          <w:sz w:val="22"/>
          <w:u w:val="single"/>
        </w:rPr>
        <w:t>Xchange</w:t>
      </w:r>
      <w:r>
        <w:rPr>
          <w:rFonts w:ascii="Calibri" w:hAnsi="Calibri"/>
          <w:color w:val="0A161C"/>
          <w:sz w:val="22"/>
        </w:rPr>
        <w:t>). SparkToro’s dark-social work is why a presence there would never show as “social” in analytics — private shares look like Direct (</w:t>
      </w:r>
      <w:r>
        <w:rPr>
          <w:rFonts w:ascii="Calibri" w:hAnsi="Calibri"/>
          <w:color w:val="2B9E80"/>
          <w:sz w:val="22"/>
          <w:u w:val="single"/>
        </w:rPr>
        <w:t>SparkToro</w:t>
      </w:r>
      <w:r>
        <w:rPr>
          <w:rFonts w:ascii="Calibri" w:hAnsi="Calibri"/>
          <w:color w:val="0A161C"/>
          <w:sz w:val="22"/>
        </w:rPr>
        <w:t>). Useful later as a person in the forum, not as a LUCI program, and not as a splash.</w:t>
      </w:r>
    </w:p>
    <w:p>
      <w:pPr>
        <w:pStyle w:val="ListBullet"/>
      </w:pPr>
      <w:r>
        <w:rPr>
          <w:rFonts w:ascii="Calibri" w:hAnsi="Calibri"/>
          <w:b/>
          <w:color w:val="0A161C"/>
          <w:sz w:val="22"/>
        </w:rPr>
        <w:t>Field-installer employee-generated content.</w:t>
      </w:r>
      <w:r>
        <w:rPr>
          <w:rFonts w:ascii="Calibri" w:hAnsi="Calibri"/>
          <w:color w:val="0A161C"/>
          <w:sz w:val="22"/>
        </w:rPr>
        <w:t xml:space="preserve"> Legal. Off.</w:t>
      </w:r>
    </w:p>
    <w:p>
      <w:pPr>
        <w:pStyle w:val="ListBullet"/>
      </w:pPr>
      <w:r>
        <w:rPr>
          <w:rFonts w:ascii="Calibri" w:hAnsi="Calibri"/>
          <w:b/>
          <w:color w:val="0A161C"/>
          <w:sz w:val="22"/>
        </w:rPr>
        <w:t>Podcast guesting.</w:t>
      </w:r>
      <w:r>
        <w:rPr>
          <w:rFonts w:ascii="Calibri" w:hAnsi="Calibri"/>
          <w:color w:val="0A161C"/>
          <w:sz w:val="22"/>
        </w:rPr>
        <w:t xml:space="preserve"> Guests on other people’s shows, maybe. Not a LUCI show.</w:t>
      </w:r>
    </w:p>
    <w:p/>
    <w:p/>
    <w:p>
      <w:pPr>
        <w:pStyle w:val="Heading2"/>
      </w:pPr>
      <w:r>
        <w:rPr>
          <w:color w:val="0A161C"/>
        </w:rPr>
        <w:t>Already in flight — not new</w:t>
      </w:r>
    </w:p>
    <w:p/>
    <w:p>
      <w:r>
        <w:rPr>
          <w:rFonts w:ascii="Calibri" w:hAnsi="Calibri"/>
          <w:color w:val="0A161C"/>
          <w:sz w:val="22"/>
        </w:rPr>
        <w:t>Signal. Nurture and journey email. Feature blogs. Case-study blogs (four live doors; Aliante off). Checklists. Demo webinar. LinkedIn until launch. Field Activation Guide. Consolidation infographic. Where LUCI has been. Mike columns. ChatGPT copy workflow. IMP. Welcome to the Family.</w:t>
      </w:r>
    </w:p>
    <w:p/>
    <w:p>
      <w:r>
        <w:rPr>
          <w:rFonts w:ascii="Calibri" w:hAnsi="Calibri"/>
          <w:color w:val="0A161C"/>
          <w:sz w:val="22"/>
        </w:rPr>
        <w:t>Do not restart any of these as a “2026 tactic.”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