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8"/>
        </w:rPr>
        <w:t>CURRICULUM VITAE</w:t>
      </w:r>
    </w:p>
    <w:p>
      <w:pPr>
        <w:jc w:val="center"/>
      </w:pPr>
      <w:r>
        <w:rPr>
          <w:b/>
          <w:color w:val="6B1E2E"/>
          <w:sz w:val="40"/>
        </w:rPr>
        <w:t>JANE CHEW</w:t>
      </w:r>
    </w:p>
    <w:p>
      <w:pPr>
        <w:jc w:val="center"/>
      </w:pPr>
      <w:r>
        <w:rPr>
          <w:i/>
        </w:rPr>
        <w:t>AI Transformation Consultant  |  Business Strategy Coach  |  Customer Analytics &amp; CRM Specialist</w:t>
      </w:r>
    </w:p>
    <w:p>
      <w:pPr>
        <w:jc w:val="center"/>
        <w:pBdr>
          <w:bottom w:val="single" w:sz="6" w:space="1" w:color="6B1E2E"/>
        </w:pBdr>
      </w:pPr>
      <w:r>
        <w:rPr>
          <w:sz w:val="19"/>
        </w:rPr>
        <w:t>+6012-666 9892  |  janechew@digitalaibusinessclub.com  |  linkedin.com/in/janechewcom  |  Malaysia</w:t>
      </w:r>
    </w:p>
    <w:p>
      <w:pPr>
        <w:spacing w:before="200" w:after="80"/>
        <w:pBdr>
          <w:bottom w:val="single" w:sz="6" w:space="1" w:color="6B1E2E"/>
        </w:pBdr>
      </w:pPr>
      <w:r>
        <w:rPr>
          <w:b/>
          <w:color w:val="6B1E2E"/>
          <w:sz w:val="23"/>
        </w:rPr>
        <w:t>PROFESSIONAL PROFILE</w:t>
      </w:r>
    </w:p>
    <w:p>
      <w:r>
        <w:t xml:space="preserve">Business practitioner with </w:t>
      </w:r>
      <w:r>
        <w:rPr>
          <w:highlight w:val="yellow"/>
        </w:rPr>
        <w:t>[26+]</w:t>
      </w:r>
      <w:r>
        <w:t xml:space="preserve"> years of experience across customer analytics, CRM and loyalty marketing, digital business and AI strategy. Career spans an international marketing agency (OgilvyOne Worldwide), a regional bank (OCBC Bank, eight years as Head of Customer Analytics &amp; CRM), a global loyalty firm (Aimia / Carlson Marketing), seven years building and running a digital membership business, and, since 2024, founding an AI strategy consultancy and business community.</w:t>
      </w:r>
    </w:p>
    <w:p>
      <w:r>
        <w:t>Current work focuses on how Malaysian SMEs and organisations decide where AI fits in their business model, build internal capability, and turn AI adoption into measurable revenue and productivity outcomes. Seeking the Doctor of Business Administration through APEL.Q to formalise this practice-based knowledge into a structured research contribution.</w:t>
      </w:r>
    </w:p>
    <w:p>
      <w:pPr>
        <w:spacing w:before="200" w:after="80"/>
        <w:pBdr>
          <w:bottom w:val="single" w:sz="6" w:space="1" w:color="6B1E2E"/>
        </w:pBdr>
      </w:pPr>
      <w:r>
        <w:rPr>
          <w:b/>
          <w:color w:val="6B1E2E"/>
          <w:sz w:val="23"/>
        </w:rPr>
        <w:t>CAREER SUMMARY</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fill="F2E6E8"/>
          </w:tcPr>
          <w:p>
            <w:r>
              <w:rPr>
                <w:b/>
                <w:sz w:val="20"/>
              </w:rPr>
            </w:r>
            <w:r>
              <w:rPr>
                <w:b/>
                <w:sz w:val="20"/>
              </w:rPr>
              <w:t>Period</w:t>
            </w:r>
          </w:p>
        </w:tc>
        <w:tc>
          <w:tcPr>
            <w:tcW w:type="dxa" w:w="3402"/>
            <w:shd w:val="clear" w:fill="F2E6E8"/>
          </w:tcPr>
          <w:p>
            <w:r>
              <w:rPr>
                <w:b/>
                <w:sz w:val="20"/>
              </w:rPr>
            </w:r>
            <w:r>
              <w:rPr>
                <w:b/>
                <w:sz w:val="20"/>
              </w:rPr>
              <w:t>Organisation</w:t>
            </w:r>
          </w:p>
        </w:tc>
        <w:tc>
          <w:tcPr>
            <w:tcW w:type="dxa" w:w="3118"/>
            <w:shd w:val="clear" w:fill="F2E6E8"/>
          </w:tcPr>
          <w:p>
            <w:r>
              <w:rPr>
                <w:b/>
                <w:sz w:val="20"/>
              </w:rPr>
            </w:r>
            <w:r>
              <w:rPr>
                <w:b/>
                <w:sz w:val="20"/>
              </w:rPr>
              <w:t>Position</w:t>
            </w:r>
          </w:p>
        </w:tc>
        <w:tc>
          <w:tcPr>
            <w:tcW w:type="dxa" w:w="1134"/>
            <w:shd w:val="clear" w:fill="F2E6E8"/>
          </w:tcPr>
          <w:p>
            <w:r>
              <w:rPr>
                <w:b/>
                <w:sz w:val="20"/>
              </w:rPr>
            </w:r>
            <w:r>
              <w:rPr>
                <w:b/>
                <w:sz w:val="20"/>
              </w:rPr>
              <w:t>Years</w:t>
            </w:r>
          </w:p>
        </w:tc>
      </w:tr>
      <w:tr>
        <w:tc>
          <w:tcPr>
            <w:tcW w:type="dxa" w:w="1701"/>
          </w:tcPr>
          <w:p>
            <w:r>
              <w:rPr>
                <w:sz w:val="20"/>
              </w:rPr>
            </w:r>
            <w:r>
              <w:rPr>
                <w:sz w:val="20"/>
              </w:rPr>
              <w:t>2024 – Present</w:t>
            </w:r>
          </w:p>
        </w:tc>
        <w:tc>
          <w:tcPr>
            <w:tcW w:type="dxa" w:w="3402"/>
          </w:tcPr>
          <w:p>
            <w:r>
              <w:rPr>
                <w:sz w:val="20"/>
              </w:rPr>
            </w:r>
            <w:r>
              <w:rPr>
                <w:sz w:val="20"/>
              </w:rPr>
              <w:t>10xAI Business Consulting Sdn Bhd / DigitalAI Business Club</w:t>
            </w:r>
          </w:p>
        </w:tc>
        <w:tc>
          <w:tcPr>
            <w:tcW w:type="dxa" w:w="3118"/>
          </w:tcPr>
          <w:p>
            <w:r>
              <w:rPr>
                <w:sz w:val="20"/>
              </w:rPr>
            </w:r>
            <w:r>
              <w:rPr>
                <w:sz w:val="20"/>
              </w:rPr>
              <w:t>Founder &amp; AI Strategy Coach</w:t>
            </w:r>
          </w:p>
        </w:tc>
        <w:tc>
          <w:tcPr>
            <w:tcW w:type="dxa" w:w="1134"/>
          </w:tcPr>
          <w:p>
            <w:r>
              <w:rPr>
                <w:sz w:val="20"/>
              </w:rPr>
            </w:r>
            <w:r>
              <w:rPr>
                <w:sz w:val="20"/>
              </w:rPr>
              <w:t>2+</w:t>
            </w:r>
          </w:p>
        </w:tc>
      </w:tr>
      <w:tr>
        <w:tc>
          <w:tcPr>
            <w:tcW w:type="dxa" w:w="1701"/>
          </w:tcPr>
          <w:p>
            <w:r>
              <w:rPr>
                <w:sz w:val="20"/>
              </w:rPr>
            </w:r>
            <w:r>
              <w:rPr>
                <w:sz w:val="20"/>
              </w:rPr>
            </w:r>
            <w:r>
              <w:rPr>
                <w:sz w:val="20"/>
                <w:highlight w:val="yellow"/>
              </w:rPr>
              <w:t>[2020 – 2024]</w:t>
            </w:r>
            <w:r>
              <w:rPr>
                <w:sz w:val="20"/>
              </w:rPr>
            </w:r>
          </w:p>
        </w:tc>
        <w:tc>
          <w:tcPr>
            <w:tcW w:type="dxa" w:w="3402"/>
          </w:tcPr>
          <w:p>
            <w:r>
              <w:rPr>
                <w:sz w:val="20"/>
              </w:rPr>
            </w:r>
            <w:r>
              <w:rPr>
                <w:sz w:val="20"/>
              </w:rPr>
            </w:r>
            <w:r>
              <w:rPr>
                <w:sz w:val="20"/>
                <w:highlight w:val="yellow"/>
              </w:rPr>
              <w:t>[Organisation / independent practice]</w:t>
            </w:r>
            <w:r>
              <w:rPr>
                <w:sz w:val="20"/>
              </w:rPr>
            </w:r>
          </w:p>
        </w:tc>
        <w:tc>
          <w:tcPr>
            <w:tcW w:type="dxa" w:w="3118"/>
          </w:tcPr>
          <w:p>
            <w:r>
              <w:rPr>
                <w:sz w:val="20"/>
              </w:rPr>
            </w:r>
            <w:r>
              <w:rPr>
                <w:sz w:val="20"/>
              </w:rPr>
            </w:r>
            <w:r>
              <w:rPr>
                <w:sz w:val="20"/>
                <w:highlight w:val="yellow"/>
              </w:rPr>
              <w:t>[Position]</w:t>
            </w:r>
            <w:r>
              <w:rPr>
                <w:sz w:val="20"/>
              </w:rPr>
            </w:r>
          </w:p>
        </w:tc>
        <w:tc>
          <w:tcPr>
            <w:tcW w:type="dxa" w:w="1134"/>
          </w:tcPr>
          <w:p>
            <w:r>
              <w:rPr>
                <w:sz w:val="20"/>
              </w:rPr>
            </w:r>
            <w:r>
              <w:rPr>
                <w:sz w:val="20"/>
              </w:rPr>
            </w:r>
            <w:r>
              <w:rPr>
                <w:sz w:val="20"/>
                <w:highlight w:val="yellow"/>
              </w:rPr>
              <w:t>[4]</w:t>
            </w:r>
            <w:r>
              <w:rPr>
                <w:sz w:val="20"/>
              </w:rPr>
            </w:r>
          </w:p>
        </w:tc>
      </w:tr>
      <w:tr>
        <w:tc>
          <w:tcPr>
            <w:tcW w:type="dxa" w:w="1701"/>
          </w:tcPr>
          <w:p>
            <w:r>
              <w:rPr>
                <w:sz w:val="20"/>
              </w:rPr>
            </w:r>
            <w:r>
              <w:rPr>
                <w:sz w:val="20"/>
              </w:rPr>
              <w:t>2013 – 2020</w:t>
            </w:r>
          </w:p>
        </w:tc>
        <w:tc>
          <w:tcPr>
            <w:tcW w:type="dxa" w:w="3402"/>
          </w:tcPr>
          <w:p>
            <w:r>
              <w:rPr>
                <w:sz w:val="20"/>
              </w:rPr>
            </w:r>
            <w:r>
              <w:rPr>
                <w:sz w:val="20"/>
              </w:rPr>
              <w:t>DIY Jewelry Making Membership Program</w:t>
            </w:r>
          </w:p>
        </w:tc>
        <w:tc>
          <w:tcPr>
            <w:tcW w:type="dxa" w:w="3118"/>
          </w:tcPr>
          <w:p>
            <w:r>
              <w:rPr>
                <w:sz w:val="20"/>
              </w:rPr>
            </w:r>
            <w:r>
              <w:rPr>
                <w:sz w:val="20"/>
              </w:rPr>
              <w:t>Founder / Digital Publisher</w:t>
            </w:r>
          </w:p>
        </w:tc>
        <w:tc>
          <w:tcPr>
            <w:tcW w:type="dxa" w:w="1134"/>
          </w:tcPr>
          <w:p>
            <w:r>
              <w:rPr>
                <w:sz w:val="20"/>
              </w:rPr>
            </w:r>
            <w:r>
              <w:rPr>
                <w:sz w:val="20"/>
              </w:rPr>
              <w:t>7</w:t>
            </w:r>
          </w:p>
        </w:tc>
      </w:tr>
      <w:tr>
        <w:tc>
          <w:tcPr>
            <w:tcW w:type="dxa" w:w="1701"/>
          </w:tcPr>
          <w:p>
            <w:r>
              <w:rPr>
                <w:sz w:val="20"/>
              </w:rPr>
            </w:r>
            <w:r>
              <w:rPr>
                <w:sz w:val="20"/>
              </w:rPr>
              <w:t>2011 – 2012</w:t>
            </w:r>
          </w:p>
        </w:tc>
        <w:tc>
          <w:tcPr>
            <w:tcW w:type="dxa" w:w="3402"/>
          </w:tcPr>
          <w:p>
            <w:r>
              <w:rPr>
                <w:sz w:val="20"/>
              </w:rPr>
            </w:r>
            <w:r>
              <w:rPr>
                <w:sz w:val="20"/>
              </w:rPr>
              <w:t>Aimia / Carlson Marketing</w:t>
            </w:r>
          </w:p>
        </w:tc>
        <w:tc>
          <w:tcPr>
            <w:tcW w:type="dxa" w:w="3118"/>
          </w:tcPr>
          <w:p>
            <w:r>
              <w:rPr>
                <w:sz w:val="20"/>
              </w:rPr>
            </w:r>
            <w:r>
              <w:rPr>
                <w:sz w:val="20"/>
              </w:rPr>
              <w:t>Account Director / Loyalty Marketing Consultant</w:t>
            </w:r>
          </w:p>
        </w:tc>
        <w:tc>
          <w:tcPr>
            <w:tcW w:type="dxa" w:w="1134"/>
          </w:tcPr>
          <w:p>
            <w:r>
              <w:rPr>
                <w:sz w:val="20"/>
              </w:rPr>
            </w:r>
            <w:r>
              <w:rPr>
                <w:sz w:val="20"/>
              </w:rPr>
              <w:t>1–2</w:t>
            </w:r>
          </w:p>
        </w:tc>
      </w:tr>
      <w:tr>
        <w:tc>
          <w:tcPr>
            <w:tcW w:type="dxa" w:w="1701"/>
          </w:tcPr>
          <w:p>
            <w:r>
              <w:rPr>
                <w:sz w:val="20"/>
              </w:rPr>
            </w:r>
            <w:r>
              <w:rPr>
                <w:sz w:val="20"/>
              </w:rPr>
              <w:t>2003 – 2011</w:t>
            </w:r>
          </w:p>
        </w:tc>
        <w:tc>
          <w:tcPr>
            <w:tcW w:type="dxa" w:w="3402"/>
          </w:tcPr>
          <w:p>
            <w:r>
              <w:rPr>
                <w:sz w:val="20"/>
              </w:rPr>
            </w:r>
            <w:r>
              <w:rPr>
                <w:sz w:val="20"/>
              </w:rPr>
              <w:t>OCBC Bank</w:t>
            </w:r>
          </w:p>
        </w:tc>
        <w:tc>
          <w:tcPr>
            <w:tcW w:type="dxa" w:w="3118"/>
          </w:tcPr>
          <w:p>
            <w:r>
              <w:rPr>
                <w:sz w:val="20"/>
              </w:rPr>
            </w:r>
            <w:r>
              <w:rPr>
                <w:sz w:val="20"/>
              </w:rPr>
              <w:t>Head of Customer Analytics &amp; CRM</w:t>
            </w:r>
          </w:p>
        </w:tc>
        <w:tc>
          <w:tcPr>
            <w:tcW w:type="dxa" w:w="1134"/>
          </w:tcPr>
          <w:p>
            <w:r>
              <w:rPr>
                <w:sz w:val="20"/>
              </w:rPr>
            </w:r>
            <w:r>
              <w:rPr>
                <w:sz w:val="20"/>
              </w:rPr>
              <w:t>8</w:t>
            </w:r>
          </w:p>
        </w:tc>
      </w:tr>
      <w:tr>
        <w:tc>
          <w:tcPr>
            <w:tcW w:type="dxa" w:w="1701"/>
          </w:tcPr>
          <w:p>
            <w:r>
              <w:rPr>
                <w:sz w:val="20"/>
              </w:rPr>
            </w:r>
            <w:r>
              <w:rPr>
                <w:sz w:val="20"/>
              </w:rPr>
              <w:t>2000 – 2003</w:t>
            </w:r>
          </w:p>
        </w:tc>
        <w:tc>
          <w:tcPr>
            <w:tcW w:type="dxa" w:w="3402"/>
          </w:tcPr>
          <w:p>
            <w:r>
              <w:rPr>
                <w:sz w:val="20"/>
              </w:rPr>
            </w:r>
            <w:r>
              <w:rPr>
                <w:sz w:val="20"/>
              </w:rPr>
              <w:t>OgilvyOne Worldwide</w:t>
            </w:r>
          </w:p>
        </w:tc>
        <w:tc>
          <w:tcPr>
            <w:tcW w:type="dxa" w:w="3118"/>
          </w:tcPr>
          <w:p>
            <w:r>
              <w:rPr>
                <w:sz w:val="20"/>
              </w:rPr>
            </w:r>
            <w:r>
              <w:rPr>
                <w:sz w:val="20"/>
              </w:rPr>
              <w:t>Account Manager, CRM / Database Marketing</w:t>
            </w:r>
          </w:p>
        </w:tc>
        <w:tc>
          <w:tcPr>
            <w:tcW w:type="dxa" w:w="1134"/>
          </w:tcPr>
          <w:p>
            <w:r>
              <w:rPr>
                <w:sz w:val="20"/>
              </w:rPr>
            </w:r>
            <w:r>
              <w:rPr>
                <w:sz w:val="20"/>
              </w:rPr>
              <w:t>3</w:t>
            </w:r>
          </w:p>
        </w:tc>
      </w:tr>
      <w:tr>
        <w:tc>
          <w:tcPr>
            <w:tcW w:type="dxa" w:w="1701"/>
          </w:tcPr>
          <w:p>
            <w:r>
              <w:rPr>
                <w:sz w:val="20"/>
              </w:rPr>
            </w:r>
            <w:r>
              <w:rPr>
                <w:sz w:val="20"/>
              </w:rPr>
            </w:r>
            <w:r>
              <w:rPr>
                <w:sz w:val="20"/>
                <w:highlight w:val="yellow"/>
              </w:rPr>
              <w:t>[1997 – 2000]</w:t>
            </w:r>
            <w:r>
              <w:rPr>
                <w:sz w:val="20"/>
              </w:rPr>
            </w:r>
          </w:p>
        </w:tc>
        <w:tc>
          <w:tcPr>
            <w:tcW w:type="dxa" w:w="3402"/>
          </w:tcPr>
          <w:p>
            <w:r>
              <w:rPr>
                <w:sz w:val="20"/>
              </w:rPr>
            </w:r>
            <w:r>
              <w:rPr>
                <w:sz w:val="20"/>
              </w:rPr>
            </w:r>
            <w:r>
              <w:rPr>
                <w:sz w:val="20"/>
                <w:highlight w:val="yellow"/>
              </w:rPr>
              <w:t>[First employer after UKM]</w:t>
            </w:r>
            <w:r>
              <w:rPr>
                <w:sz w:val="20"/>
              </w:rPr>
            </w:r>
          </w:p>
        </w:tc>
        <w:tc>
          <w:tcPr>
            <w:tcW w:type="dxa" w:w="3118"/>
          </w:tcPr>
          <w:p>
            <w:r>
              <w:rPr>
                <w:sz w:val="20"/>
              </w:rPr>
            </w:r>
            <w:r>
              <w:rPr>
                <w:sz w:val="20"/>
              </w:rPr>
            </w:r>
            <w:r>
              <w:rPr>
                <w:sz w:val="20"/>
                <w:highlight w:val="yellow"/>
              </w:rPr>
              <w:t>[Position]</w:t>
            </w:r>
            <w:r>
              <w:rPr>
                <w:sz w:val="20"/>
              </w:rPr>
            </w:r>
          </w:p>
        </w:tc>
        <w:tc>
          <w:tcPr>
            <w:tcW w:type="dxa" w:w="1134"/>
          </w:tcPr>
          <w:p>
            <w:r>
              <w:rPr>
                <w:sz w:val="20"/>
              </w:rPr>
            </w:r>
            <w:r>
              <w:rPr>
                <w:sz w:val="20"/>
              </w:rPr>
            </w:r>
            <w:r>
              <w:rPr>
                <w:sz w:val="20"/>
                <w:highlight w:val="yellow"/>
              </w:rPr>
              <w:t>[3]</w:t>
            </w:r>
            <w:r>
              <w:rPr>
                <w:sz w:val="20"/>
              </w:rPr>
            </w:r>
          </w:p>
        </w:tc>
      </w:tr>
      <w:tr>
        <w:tc>
          <w:tcPr>
            <w:tcW w:type="dxa" w:w="1701"/>
          </w:tcPr>
          <w:p>
            <w:r>
              <w:rPr>
                <w:sz w:val="20"/>
              </w:rPr>
            </w:r>
            <w:r>
              <w:rPr>
                <w:sz w:val="20"/>
              </w:rPr>
            </w:r>
          </w:p>
        </w:tc>
        <w:tc>
          <w:tcPr>
            <w:tcW w:type="dxa" w:w="3402"/>
          </w:tcPr>
          <w:p>
            <w:r>
              <w:rPr>
                <w:sz w:val="20"/>
              </w:rPr>
            </w:r>
            <w:r>
              <w:rPr>
                <w:sz w:val="20"/>
              </w:rPr>
            </w:r>
          </w:p>
        </w:tc>
        <w:tc>
          <w:tcPr>
            <w:tcW w:type="dxa" w:w="3118"/>
          </w:tcPr>
          <w:p>
            <w:r>
              <w:rPr>
                <w:sz w:val="20"/>
              </w:rPr>
            </w:r>
            <w:r>
              <w:rPr>
                <w:sz w:val="20"/>
              </w:rPr>
              <w:t>Total relevant experience</w:t>
            </w:r>
          </w:p>
        </w:tc>
        <w:tc>
          <w:tcPr>
            <w:tcW w:type="dxa" w:w="1134"/>
          </w:tcPr>
          <w:p>
            <w:r>
              <w:rPr>
                <w:sz w:val="20"/>
              </w:rPr>
            </w:r>
            <w:r>
              <w:rPr>
                <w:sz w:val="20"/>
              </w:rPr>
            </w:r>
            <w:r>
              <w:rPr>
                <w:sz w:val="20"/>
                <w:highlight w:val="yellow"/>
              </w:rPr>
              <w:t>[26–29]</w:t>
            </w:r>
            <w:r>
              <w:rPr>
                <w:sz w:val="20"/>
              </w:rPr>
            </w:r>
          </w:p>
        </w:tc>
      </w:tr>
    </w:tbl>
    <w:p>
      <w:pPr>
        <w:spacing w:after="0"/>
      </w:pPr>
    </w:p>
    <w:p>
      <w:pPr>
        <w:spacing w:before="200" w:after="80"/>
        <w:pBdr>
          <w:bottom w:val="single" w:sz="6" w:space="1" w:color="6B1E2E"/>
        </w:pBdr>
      </w:pPr>
      <w:r>
        <w:rPr>
          <w:b/>
          <w:color w:val="6B1E2E"/>
          <w:sz w:val="23"/>
        </w:rPr>
        <w:t>PROFESSIONAL EXPERIENCE</w:t>
      </w:r>
    </w:p>
    <w:p>
      <w:pPr>
        <w:spacing w:before="120" w:after="0"/>
      </w:pPr>
      <w:r/>
      <w:r>
        <w:rPr>
          <w:b/>
        </w:rPr>
        <w:t>Founder &amp; AI Strategy Coach</w:t>
      </w:r>
      <w:r>
        <w:rPr>
          <w:color w:val="555555"/>
        </w:rPr>
        <w:t xml:space="preserve">  |  2024 – Present</w:t>
      </w:r>
    </w:p>
    <w:p>
      <w:pPr>
        <w:spacing w:after="40"/>
      </w:pPr>
      <w:r>
        <w:rPr>
          <w:i/>
        </w:rPr>
        <w:t>10xAI Business Consulting Sdn Bhd / DigitalAI Business Club, Malaysia</w:t>
      </w:r>
    </w:p>
    <w:p>
      <w:pPr>
        <w:pStyle w:val="ListBullet"/>
        <w:spacing w:after="20"/>
      </w:pPr>
      <w:r>
        <w:t>Founded DigitalAI Business Club and grew it into a digital business community of more than 1,000 members.</w:t>
      </w:r>
    </w:p>
    <w:p>
      <w:pPr>
        <w:pStyle w:val="ListBullet"/>
        <w:spacing w:after="20"/>
      </w:pPr>
      <w:r>
        <w:t>Advise business owners and management teams on AI strategy, AI readiness and business model redesign before automation.</w:t>
      </w:r>
    </w:p>
    <w:p>
      <w:pPr>
        <w:pStyle w:val="ListBullet"/>
        <w:spacing w:after="20"/>
      </w:pPr>
      <w:r>
        <w:t>Designed and lead the Claude AI for Business Masterclass (Levels 1–3) as Program Director.</w:t>
      </w:r>
    </w:p>
    <w:p>
      <w:pPr>
        <w:pStyle w:val="ListBullet"/>
        <w:spacing w:after="20"/>
      </w:pPr>
      <w:r>
        <w:t>Developed proprietary frameworks for AI-led customer growth (Customer Profit AI Engines / Customer-to-Revenue Bootcamp).</w:t>
      </w:r>
    </w:p>
    <w:p>
      <w:pPr>
        <w:pStyle w:val="ListBullet"/>
        <w:spacing w:after="20"/>
      </w:pPr>
      <w:r>
        <w:t>Deliver corporate and SME training as an HRD Corp Accredited Trainer, in physical and virtual formats.</w:t>
      </w:r>
    </w:p>
    <w:p>
      <w:pPr>
        <w:pStyle w:val="ListBullet"/>
        <w:spacing w:after="20"/>
      </w:pPr>
      <w:r>
        <w:t xml:space="preserve">Clients include Plytec Bhd, Widad Group Bhd, PKNS, Universiti Sultan Azlan Shah and Automation &amp; Control Systems Sdn Bhd </w:t>
      </w:r>
      <w:r>
        <w:rPr>
          <w:highlight w:val="yellow"/>
        </w:rPr>
        <w:t>[add 1–2 measurable client outcomes]</w:t>
      </w:r>
      <w:r>
        <w:t>.</w:t>
      </w:r>
    </w:p>
    <w:p>
      <w:pPr>
        <w:spacing w:before="120" w:after="0"/>
      </w:pPr>
      <w:r/>
      <w:r>
        <w:rPr>
          <w:b/>
        </w:rPr>
        <w:t>[[Position]]</w:t>
      </w:r>
      <w:r>
        <w:rPr>
          <w:color w:val="555555"/>
        </w:rPr>
        <w:t xml:space="preserve">  |  [[2020 – 2024]]</w:t>
      </w:r>
    </w:p>
    <w:p>
      <w:pPr>
        <w:spacing w:after="40"/>
      </w:pPr>
      <w:r>
        <w:rPr>
          <w:i/>
        </w:rPr>
      </w:r>
      <w:r>
        <w:rPr>
          <w:i/>
          <w:highlight w:val="yellow"/>
        </w:rPr>
        <w:t>[Organisation / independent practice]</w:t>
      </w:r>
      <w:r>
        <w:rPr>
          <w:i/>
        </w:rPr>
      </w:r>
    </w:p>
    <w:p>
      <w:pPr>
        <w:pStyle w:val="ListBullet"/>
        <w:spacing w:after="20"/>
      </w:pPr>
      <w:r/>
      <w:r>
        <w:rPr>
          <w:highlight w:val="yellow"/>
        </w:rPr>
        <w:t>[Describe work in this period: consulting, coaching, digital business, study. Assessors will count gaps against the 25-year threshold.]</w:t>
      </w:r>
      <w:r/>
    </w:p>
    <w:p>
      <w:pPr>
        <w:spacing w:before="120" w:after="0"/>
      </w:pPr>
      <w:r/>
      <w:r>
        <w:rPr>
          <w:b/>
        </w:rPr>
        <w:t>Founder / Digital Publisher</w:t>
      </w:r>
      <w:r>
        <w:rPr>
          <w:color w:val="555555"/>
        </w:rPr>
        <w:t xml:space="preserve">  |  2013 – 2020</w:t>
      </w:r>
    </w:p>
    <w:p>
      <w:pPr>
        <w:spacing w:after="40"/>
      </w:pPr>
      <w:r>
        <w:rPr>
          <w:i/>
        </w:rPr>
        <w:t>DIY Jewelry Making Membership Program</w:t>
      </w:r>
    </w:p>
    <w:p>
      <w:pPr>
        <w:pStyle w:val="ListBullet"/>
        <w:spacing w:after="20"/>
      </w:pPr>
      <w:r>
        <w:t>Built and ran a subscription-based online membership business, covering product, content, pricing and customer retention.</w:t>
      </w:r>
    </w:p>
    <w:p>
      <w:pPr>
        <w:pStyle w:val="ListBullet"/>
        <w:spacing w:after="20"/>
      </w:pPr>
      <w:r>
        <w:t>Managed digital marketing, community engagement and recurring-revenue operations end to end.</w:t>
      </w:r>
    </w:p>
    <w:p>
      <w:pPr>
        <w:pStyle w:val="ListBullet"/>
        <w:spacing w:after="20"/>
      </w:pPr>
      <w:r/>
      <w:r>
        <w:rPr>
          <w:highlight w:val="yellow"/>
        </w:rPr>
        <w:t>[Add scale: members, countries reached, or revenue range]</w:t>
      </w:r>
      <w:r>
        <w:t>.</w:t>
      </w:r>
    </w:p>
    <w:p>
      <w:pPr>
        <w:spacing w:before="120" w:after="0"/>
      </w:pPr>
      <w:r/>
      <w:r>
        <w:rPr>
          <w:b/>
        </w:rPr>
        <w:t>Account Director / Loyalty Marketing Consultant</w:t>
      </w:r>
      <w:r>
        <w:rPr>
          <w:color w:val="555555"/>
        </w:rPr>
        <w:t xml:space="preserve">  |  2011 – 2012</w:t>
      </w:r>
    </w:p>
    <w:p>
      <w:pPr>
        <w:spacing w:after="40"/>
      </w:pPr>
      <w:r>
        <w:rPr>
          <w:i/>
        </w:rPr>
        <w:t>Aimia / Carlson Marketing</w:t>
      </w:r>
    </w:p>
    <w:p>
      <w:pPr>
        <w:pStyle w:val="ListBullet"/>
        <w:spacing w:after="20"/>
      </w:pPr>
      <w:r>
        <w:t>Led loyalty programme strategy and account management for corporate clients.</w:t>
      </w:r>
    </w:p>
    <w:p>
      <w:pPr>
        <w:pStyle w:val="ListBullet"/>
        <w:spacing w:after="20"/>
      </w:pPr>
      <w:r/>
      <w:r>
        <w:rPr>
          <w:highlight w:val="yellow"/>
        </w:rPr>
        <w:t>[Name client sectors and one programme outcome]</w:t>
      </w:r>
      <w:r>
        <w:t>.</w:t>
      </w:r>
    </w:p>
    <w:p>
      <w:pPr>
        <w:spacing w:before="120" w:after="0"/>
      </w:pPr>
      <w:r/>
      <w:r>
        <w:rPr>
          <w:b/>
        </w:rPr>
        <w:t>Head of Customer Analytics &amp; CRM</w:t>
      </w:r>
      <w:r>
        <w:rPr>
          <w:color w:val="555555"/>
        </w:rPr>
        <w:t xml:space="preserve">  |  2003 – 2011</w:t>
      </w:r>
    </w:p>
    <w:p>
      <w:pPr>
        <w:spacing w:after="40"/>
      </w:pPr>
      <w:r>
        <w:rPr>
          <w:i/>
        </w:rPr>
        <w:t>OCBC Bank</w:t>
      </w:r>
    </w:p>
    <w:p>
      <w:pPr>
        <w:pStyle w:val="ListBullet"/>
        <w:spacing w:after="20"/>
      </w:pPr>
      <w:r>
        <w:t>Led the customer analytics and CRM function, using customer data to guide segmentation, cross-sell and retention decisions.</w:t>
      </w:r>
    </w:p>
    <w:p>
      <w:pPr>
        <w:pStyle w:val="ListBullet"/>
        <w:spacing w:after="20"/>
      </w:pPr>
      <w:r>
        <w:t xml:space="preserve">Built and managed the analytics team </w:t>
      </w:r>
      <w:r>
        <w:rPr>
          <w:highlight w:val="yellow"/>
        </w:rPr>
        <w:t>[team size]</w:t>
      </w:r>
      <w:r>
        <w:t xml:space="preserve"> and worked with product, marketing and branch channels on campaign targeting.</w:t>
      </w:r>
    </w:p>
    <w:p>
      <w:pPr>
        <w:pStyle w:val="ListBullet"/>
        <w:spacing w:after="20"/>
      </w:pPr>
      <w:r>
        <w:t>Served as in-house trainer (2005–2008), building analytics and CRM capability across internal teams.</w:t>
      </w:r>
    </w:p>
    <w:p>
      <w:pPr>
        <w:pStyle w:val="ListBullet"/>
        <w:spacing w:after="20"/>
      </w:pPr>
      <w:r/>
      <w:r>
        <w:rPr>
          <w:highlight w:val="yellow"/>
        </w:rPr>
        <w:t>[Add 1–2 results, e.g. campaign response uplift, retention gain, revenue contribution]</w:t>
      </w:r>
      <w:r>
        <w:t>.</w:t>
      </w:r>
    </w:p>
    <w:p>
      <w:pPr>
        <w:spacing w:before="120" w:after="0"/>
      </w:pPr>
      <w:r/>
      <w:r>
        <w:rPr>
          <w:b/>
        </w:rPr>
        <w:t>Account Manager, CRM / Database Marketing</w:t>
      </w:r>
      <w:r>
        <w:rPr>
          <w:color w:val="555555"/>
        </w:rPr>
        <w:t xml:space="preserve">  |  2000 – 2003</w:t>
      </w:r>
    </w:p>
    <w:p>
      <w:pPr>
        <w:spacing w:after="40"/>
      </w:pPr>
      <w:r>
        <w:rPr>
          <w:i/>
        </w:rPr>
        <w:t>OgilvyOne Worldwide</w:t>
      </w:r>
    </w:p>
    <w:p>
      <w:pPr>
        <w:pStyle w:val="ListBullet"/>
        <w:spacing w:after="20"/>
      </w:pPr>
      <w:r>
        <w:t>Managed CRM and database marketing programmes for agency clients, from data planning through campaign execution.</w:t>
      </w:r>
    </w:p>
    <w:p>
      <w:pPr>
        <w:pStyle w:val="ListBullet"/>
        <w:spacing w:after="20"/>
      </w:pPr>
      <w:r/>
      <w:r>
        <w:rPr>
          <w:highlight w:val="yellow"/>
        </w:rPr>
        <w:t>[Name key clients or sectors]</w:t>
      </w:r>
      <w:r>
        <w:t>.</w:t>
      </w:r>
    </w:p>
    <w:p>
      <w:pPr>
        <w:spacing w:before="120" w:after="0"/>
      </w:pPr>
      <w:r/>
      <w:r>
        <w:rPr>
          <w:b/>
        </w:rPr>
        <w:t>[[Position]]</w:t>
      </w:r>
      <w:r>
        <w:rPr>
          <w:color w:val="555555"/>
        </w:rPr>
        <w:t xml:space="preserve">  |  [[1997 – 2000]]</w:t>
      </w:r>
    </w:p>
    <w:p>
      <w:pPr>
        <w:spacing w:after="40"/>
      </w:pPr>
      <w:r>
        <w:rPr>
          <w:i/>
        </w:rPr>
      </w:r>
      <w:r>
        <w:rPr>
          <w:i/>
          <w:highlight w:val="yellow"/>
        </w:rPr>
        <w:t>[First employer after UKM]</w:t>
      </w:r>
      <w:r>
        <w:rPr>
          <w:i/>
        </w:rPr>
      </w:r>
    </w:p>
    <w:p>
      <w:pPr>
        <w:pStyle w:val="ListBullet"/>
        <w:spacing w:after="20"/>
      </w:pPr>
      <w:r/>
      <w:r>
        <w:rPr>
          <w:highlight w:val="yellow"/>
        </w:rPr>
        <w:t>[Describe role]</w:t>
      </w:r>
      <w:r/>
    </w:p>
    <w:p>
      <w:pPr>
        <w:spacing w:before="200" w:after="80"/>
        <w:pBdr>
          <w:bottom w:val="single" w:sz="6" w:space="1" w:color="6B1E2E"/>
        </w:pBdr>
      </w:pPr>
      <w:r>
        <w:rPr>
          <w:b/>
          <w:color w:val="6B1E2E"/>
          <w:sz w:val="23"/>
        </w:rPr>
        <w:t>ACADEMIC QUALIFICATION</w:t>
      </w:r>
    </w:p>
    <w:tbl>
      <w:tblPr>
        <w:tblStyle w:val="TableGrid"/>
        <w:tblW w:type="auto" w:w="0"/>
        <w:tblLook w:firstColumn="1" w:firstRow="1" w:lastColumn="0" w:lastRow="0" w:noHBand="0" w:noVBand="1" w:val="04A0"/>
      </w:tblPr>
      <w:tblGrid>
        <w:gridCol w:w="3324"/>
        <w:gridCol w:w="3324"/>
        <w:gridCol w:w="3324"/>
      </w:tblGrid>
      <w:tr>
        <w:tc>
          <w:tcPr>
            <w:tcW w:type="dxa" w:w="4535"/>
            <w:shd w:val="clear" w:fill="F2E6E8"/>
          </w:tcPr>
          <w:p>
            <w:r>
              <w:rPr>
                <w:b/>
                <w:sz w:val="20"/>
              </w:rPr>
            </w:r>
            <w:r>
              <w:rPr>
                <w:b/>
                <w:sz w:val="20"/>
              </w:rPr>
              <w:t>Qualification</w:t>
            </w:r>
          </w:p>
        </w:tc>
        <w:tc>
          <w:tcPr>
            <w:tcW w:type="dxa" w:w="3685"/>
            <w:shd w:val="clear" w:fill="F2E6E8"/>
          </w:tcPr>
          <w:p>
            <w:r>
              <w:rPr>
                <w:b/>
                <w:sz w:val="20"/>
              </w:rPr>
            </w:r>
            <w:r>
              <w:rPr>
                <w:b/>
                <w:sz w:val="20"/>
              </w:rPr>
              <w:t>Institution</w:t>
            </w:r>
          </w:p>
        </w:tc>
        <w:tc>
          <w:tcPr>
            <w:tcW w:type="dxa" w:w="1134"/>
            <w:shd w:val="clear" w:fill="F2E6E8"/>
          </w:tcPr>
          <w:p>
            <w:r>
              <w:rPr>
                <w:b/>
                <w:sz w:val="20"/>
              </w:rPr>
            </w:r>
            <w:r>
              <w:rPr>
                <w:b/>
                <w:sz w:val="20"/>
              </w:rPr>
              <w:t>Year</w:t>
            </w:r>
          </w:p>
        </w:tc>
      </w:tr>
      <w:tr>
        <w:tc>
          <w:tcPr>
            <w:tcW w:type="dxa" w:w="4535"/>
          </w:tcPr>
          <w:p>
            <w:r>
              <w:rPr>
                <w:sz w:val="20"/>
              </w:rPr>
            </w:r>
            <w:r>
              <w:rPr>
                <w:sz w:val="20"/>
              </w:rPr>
              <w:t>Bachelor of Business Administration (Marketing)</w:t>
            </w:r>
          </w:p>
        </w:tc>
        <w:tc>
          <w:tcPr>
            <w:tcW w:type="dxa" w:w="3685"/>
          </w:tcPr>
          <w:p>
            <w:r>
              <w:rPr>
                <w:sz w:val="20"/>
              </w:rPr>
            </w:r>
            <w:r>
              <w:rPr>
                <w:sz w:val="20"/>
              </w:rPr>
              <w:t>Universiti Kebangsaan Malaysia (UKM)</w:t>
            </w:r>
          </w:p>
        </w:tc>
        <w:tc>
          <w:tcPr>
            <w:tcW w:type="dxa" w:w="1134"/>
          </w:tcPr>
          <w:p>
            <w:r>
              <w:rPr>
                <w:sz w:val="20"/>
              </w:rPr>
            </w:r>
            <w:r>
              <w:rPr>
                <w:sz w:val="20"/>
              </w:rPr>
              <w:t>1997</w:t>
            </w:r>
          </w:p>
        </w:tc>
      </w:tr>
    </w:tbl>
    <w:p>
      <w:pPr>
        <w:spacing w:after="0"/>
      </w:pPr>
    </w:p>
    <w:p>
      <w:pPr>
        <w:spacing w:before="200" w:after="80"/>
        <w:pBdr>
          <w:bottom w:val="single" w:sz="6" w:space="1" w:color="6B1E2E"/>
        </w:pBdr>
      </w:pPr>
      <w:r>
        <w:rPr>
          <w:b/>
          <w:color w:val="6B1E2E"/>
          <w:sz w:val="23"/>
        </w:rPr>
        <w:t>PROFESSIONAL CERTIFICATION</w:t>
      </w:r>
    </w:p>
    <w:tbl>
      <w:tblPr>
        <w:tblStyle w:val="TableGrid"/>
        <w:tblW w:type="auto" w:w="0"/>
        <w:tblLook w:firstColumn="1" w:firstRow="1" w:lastColumn="0" w:lastRow="0" w:noHBand="0" w:noVBand="1" w:val="04A0"/>
      </w:tblPr>
      <w:tblGrid>
        <w:gridCol w:w="3324"/>
        <w:gridCol w:w="3324"/>
        <w:gridCol w:w="3324"/>
      </w:tblGrid>
      <w:tr>
        <w:tc>
          <w:tcPr>
            <w:tcW w:type="dxa" w:w="4535"/>
            <w:shd w:val="clear" w:fill="F2E6E8"/>
          </w:tcPr>
          <w:p>
            <w:r>
              <w:rPr>
                <w:b/>
                <w:sz w:val="20"/>
              </w:rPr>
            </w:r>
            <w:r>
              <w:rPr>
                <w:b/>
                <w:sz w:val="20"/>
              </w:rPr>
              <w:t>Certification</w:t>
            </w:r>
          </w:p>
        </w:tc>
        <w:tc>
          <w:tcPr>
            <w:tcW w:type="dxa" w:w="3685"/>
            <w:shd w:val="clear" w:fill="F2E6E8"/>
          </w:tcPr>
          <w:p>
            <w:r>
              <w:rPr>
                <w:b/>
                <w:sz w:val="20"/>
              </w:rPr>
            </w:r>
            <w:r>
              <w:rPr>
                <w:b/>
                <w:sz w:val="20"/>
              </w:rPr>
              <w:t>Awarding Body</w:t>
            </w:r>
          </w:p>
        </w:tc>
        <w:tc>
          <w:tcPr>
            <w:tcW w:type="dxa" w:w="1134"/>
            <w:shd w:val="clear" w:fill="F2E6E8"/>
          </w:tcPr>
          <w:p>
            <w:r>
              <w:rPr>
                <w:b/>
                <w:sz w:val="20"/>
              </w:rPr>
            </w:r>
            <w:r>
              <w:rPr>
                <w:b/>
                <w:sz w:val="20"/>
              </w:rPr>
              <w:t>Year</w:t>
            </w:r>
          </w:p>
        </w:tc>
      </w:tr>
      <w:tr>
        <w:tc>
          <w:tcPr>
            <w:tcW w:type="dxa" w:w="4535"/>
          </w:tcPr>
          <w:p>
            <w:r>
              <w:rPr>
                <w:sz w:val="20"/>
              </w:rPr>
            </w:r>
            <w:r>
              <w:rPr>
                <w:sz w:val="20"/>
              </w:rPr>
              <w:t>AI Strategy and Governance</w:t>
            </w:r>
          </w:p>
        </w:tc>
        <w:tc>
          <w:tcPr>
            <w:tcW w:type="dxa" w:w="3685"/>
          </w:tcPr>
          <w:p>
            <w:r>
              <w:rPr>
                <w:sz w:val="20"/>
              </w:rPr>
            </w:r>
            <w:r>
              <w:rPr>
                <w:sz w:val="20"/>
              </w:rPr>
              <w:t>University of Pennsylvania</w:t>
            </w:r>
          </w:p>
        </w:tc>
        <w:tc>
          <w:tcPr>
            <w:tcW w:type="dxa" w:w="1134"/>
          </w:tcPr>
          <w:p>
            <w:r>
              <w:rPr>
                <w:sz w:val="20"/>
              </w:rPr>
            </w:r>
            <w:r>
              <w:rPr>
                <w:sz w:val="20"/>
              </w:rPr>
              <w:t>2025</w:t>
            </w:r>
          </w:p>
        </w:tc>
      </w:tr>
      <w:tr>
        <w:tc>
          <w:tcPr>
            <w:tcW w:type="dxa" w:w="4535"/>
          </w:tcPr>
          <w:p>
            <w:r>
              <w:rPr>
                <w:sz w:val="20"/>
              </w:rPr>
            </w:r>
            <w:r>
              <w:rPr>
                <w:sz w:val="20"/>
              </w:rPr>
              <w:t>10x Strategy Coach Certification (Distinction)</w:t>
            </w:r>
          </w:p>
        </w:tc>
        <w:tc>
          <w:tcPr>
            <w:tcW w:type="dxa" w:w="3685"/>
          </w:tcPr>
          <w:p>
            <w:r>
              <w:rPr>
                <w:sz w:val="20"/>
              </w:rPr>
            </w:r>
            <w:r>
              <w:rPr>
                <w:sz w:val="20"/>
              </w:rPr>
              <w:t>10XCEO Sdn Bhd</w:t>
            </w:r>
          </w:p>
        </w:tc>
        <w:tc>
          <w:tcPr>
            <w:tcW w:type="dxa" w:w="1134"/>
          </w:tcPr>
          <w:p>
            <w:r>
              <w:rPr>
                <w:sz w:val="20"/>
              </w:rPr>
            </w:r>
            <w:r>
              <w:rPr>
                <w:sz w:val="20"/>
              </w:rPr>
              <w:t>2024</w:t>
            </w:r>
          </w:p>
        </w:tc>
      </w:tr>
      <w:tr>
        <w:tc>
          <w:tcPr>
            <w:tcW w:type="dxa" w:w="4535"/>
          </w:tcPr>
          <w:p>
            <w:r>
              <w:rPr>
                <w:sz w:val="20"/>
              </w:rPr>
            </w:r>
            <w:r>
              <w:rPr>
                <w:sz w:val="20"/>
              </w:rPr>
              <w:t>HRD Corp Accredited Trainer</w:t>
            </w:r>
          </w:p>
        </w:tc>
        <w:tc>
          <w:tcPr>
            <w:tcW w:type="dxa" w:w="3685"/>
          </w:tcPr>
          <w:p>
            <w:r>
              <w:rPr>
                <w:sz w:val="20"/>
              </w:rPr>
            </w:r>
            <w:r>
              <w:rPr>
                <w:sz w:val="20"/>
              </w:rPr>
              <w:t>HRD Corp</w:t>
            </w:r>
          </w:p>
        </w:tc>
        <w:tc>
          <w:tcPr>
            <w:tcW w:type="dxa" w:w="1134"/>
          </w:tcPr>
          <w:p>
            <w:r>
              <w:rPr>
                <w:sz w:val="20"/>
              </w:rPr>
            </w:r>
            <w:r>
              <w:rPr>
                <w:sz w:val="20"/>
              </w:rPr>
              <w:t>2024</w:t>
            </w:r>
          </w:p>
        </w:tc>
      </w:tr>
      <w:tr>
        <w:tc>
          <w:tcPr>
            <w:tcW w:type="dxa" w:w="4535"/>
          </w:tcPr>
          <w:p>
            <w:r>
              <w:rPr>
                <w:sz w:val="20"/>
              </w:rPr>
            </w:r>
            <w:r>
              <w:rPr>
                <w:sz w:val="20"/>
              </w:rPr>
              <w:t>Mindvalley Coach Certification</w:t>
            </w:r>
          </w:p>
        </w:tc>
        <w:tc>
          <w:tcPr>
            <w:tcW w:type="dxa" w:w="3685"/>
          </w:tcPr>
          <w:p>
            <w:r>
              <w:rPr>
                <w:sz w:val="20"/>
              </w:rPr>
            </w:r>
            <w:r>
              <w:rPr>
                <w:sz w:val="20"/>
              </w:rPr>
              <w:t>Mindvalley</w:t>
            </w:r>
          </w:p>
        </w:tc>
        <w:tc>
          <w:tcPr>
            <w:tcW w:type="dxa" w:w="1134"/>
          </w:tcPr>
          <w:p>
            <w:r>
              <w:rPr>
                <w:sz w:val="20"/>
              </w:rPr>
            </w:r>
            <w:r>
              <w:rPr>
                <w:sz w:val="20"/>
              </w:rPr>
              <w:t>2023</w:t>
            </w:r>
          </w:p>
        </w:tc>
      </w:tr>
    </w:tbl>
    <w:p>
      <w:pPr>
        <w:spacing w:after="0"/>
      </w:pPr>
    </w:p>
    <w:p>
      <w:pPr>
        <w:spacing w:before="200" w:after="80"/>
        <w:pBdr>
          <w:bottom w:val="single" w:sz="6" w:space="1" w:color="6B1E2E"/>
        </w:pBdr>
      </w:pPr>
      <w:r>
        <w:rPr>
          <w:b/>
          <w:color w:val="6B1E2E"/>
          <w:sz w:val="23"/>
        </w:rPr>
        <w:t>PROGRAMMES DESIGNED AND DELIVERED</w:t>
      </w:r>
    </w:p>
    <w:p>
      <w:pPr>
        <w:pStyle w:val="ListBullet"/>
        <w:spacing w:after="20"/>
      </w:pPr>
      <w:r>
        <w:t>Claude AI for Business Masterclass, Levels 1–3 (Program Director), 2026 – present</w:t>
      </w:r>
    </w:p>
    <w:p>
      <w:pPr>
        <w:pStyle w:val="ListBullet"/>
        <w:spacing w:after="20"/>
      </w:pPr>
      <w:r>
        <w:t>AI Strategy: Rethink Your Business Before You Automate, 2025 – present</w:t>
      </w:r>
    </w:p>
    <w:p>
      <w:pPr>
        <w:pStyle w:val="ListBullet"/>
        <w:spacing w:after="20"/>
      </w:pPr>
      <w:r>
        <w:t>AI for Business Leaders: Productivity, Strategy and Growth, 2025 – present</w:t>
      </w:r>
    </w:p>
    <w:p>
      <w:pPr>
        <w:pStyle w:val="ListBullet"/>
        <w:spacing w:after="20"/>
      </w:pPr>
      <w:r>
        <w:t>AI-Powered Business Model Innovation Workshop, 2025 – present</w:t>
      </w:r>
    </w:p>
    <w:p>
      <w:pPr>
        <w:pStyle w:val="ListBullet"/>
        <w:spacing w:after="20"/>
      </w:pPr>
      <w:r>
        <w:t>AI Readiness and AI Capability Building Workshops, 2025 – present</w:t>
      </w:r>
    </w:p>
    <w:p>
      <w:pPr>
        <w:pStyle w:val="ListBullet"/>
        <w:spacing w:after="20"/>
      </w:pPr>
      <w:r>
        <w:t>AI for Marketing, 2025 – present</w:t>
      </w:r>
    </w:p>
    <w:p>
      <w:pPr>
        <w:pStyle w:val="ListBullet"/>
        <w:spacing w:after="20"/>
      </w:pPr>
      <w:r>
        <w:t>Customer-to-Revenue Bootcamp (Customer Profit AI Engines), 2025 – present</w:t>
      </w:r>
    </w:p>
    <w:p>
      <w:pPr>
        <w:spacing w:before="200" w:after="80"/>
        <w:pBdr>
          <w:bottom w:val="single" w:sz="6" w:space="1" w:color="6B1E2E"/>
        </w:pBdr>
      </w:pPr>
      <w:r>
        <w:rPr>
          <w:b/>
          <w:color w:val="6B1E2E"/>
          <w:sz w:val="23"/>
        </w:rPr>
        <w:t>PUBLICATIONS AND SPEAKING</w:t>
      </w:r>
    </w:p>
    <w:p>
      <w:pPr>
        <w:pStyle w:val="ListBullet"/>
        <w:spacing w:after="20"/>
      </w:pPr>
      <w:r>
        <w:t>Author, Midlife to AI Mastery (2025).</w:t>
      </w:r>
    </w:p>
    <w:p>
      <w:pPr>
        <w:pStyle w:val="ListBullet"/>
        <w:spacing w:after="20"/>
      </w:pPr>
      <w:r>
        <w:t>Panelist Speaker, ASEAN International Fair for Trade in Services (AIFTIS) 2025.</w:t>
      </w:r>
    </w:p>
    <w:p>
      <w:pPr>
        <w:pStyle w:val="ListBullet"/>
        <w:spacing w:after="20"/>
      </w:pPr>
      <w:r>
        <w:t>Moderator / Speaker, E3 Digital &amp; AI Enablement Day 2026.</w:t>
      </w:r>
    </w:p>
    <w:p>
      <w:pPr>
        <w:pStyle w:val="ListBullet"/>
        <w:spacing w:after="20"/>
      </w:pPr>
      <w:r>
        <w:t>Moderator / Speaker, DigitalAI Enablement Day.</w:t>
      </w:r>
    </w:p>
    <w:p>
      <w:pPr>
        <w:pStyle w:val="ListBullet"/>
        <w:spacing w:after="20"/>
      </w:pPr>
      <w:r>
        <w:t>Panelist Speaker, BBX.</w:t>
      </w:r>
    </w:p>
    <w:p>
      <w:pPr>
        <w:spacing w:before="200" w:after="80"/>
        <w:pBdr>
          <w:bottom w:val="single" w:sz="6" w:space="1" w:color="6B1E2E"/>
        </w:pBdr>
      </w:pPr>
      <w:r>
        <w:rPr>
          <w:b/>
          <w:color w:val="6B1E2E"/>
          <w:sz w:val="23"/>
        </w:rPr>
        <w:t>LEADERSHIP AND INDUSTRY ROLES</w:t>
      </w:r>
    </w:p>
    <w:p>
      <w:pPr>
        <w:pStyle w:val="ListBullet"/>
        <w:spacing w:after="20"/>
      </w:pPr>
      <w:r>
        <w:t>Director of Startup &amp; Digitalization, E3 (2026 – present): connects tech partners with businesses and works with associations and government agencies on AI adoption.</w:t>
      </w:r>
    </w:p>
    <w:p>
      <w:pPr>
        <w:pStyle w:val="ListBullet"/>
        <w:spacing w:after="20"/>
      </w:pPr>
      <w:r>
        <w:t>Founder, DigitalAI Business Club (2024 – present).</w:t>
      </w:r>
    </w:p>
    <w:p>
      <w:pPr>
        <w:spacing w:before="200" w:after="80"/>
        <w:pBdr>
          <w:bottom w:val="single" w:sz="6" w:space="1" w:color="6B1E2E"/>
        </w:pBdr>
      </w:pPr>
      <w:r>
        <w:rPr>
          <w:b/>
          <w:color w:val="6B1E2E"/>
          <w:sz w:val="23"/>
        </w:rPr>
        <w:t>AWARDS</w:t>
      </w:r>
    </w:p>
    <w:p>
      <w:pPr>
        <w:pStyle w:val="ListBullet"/>
        <w:spacing w:after="20"/>
      </w:pPr>
      <w:r>
        <w:t>10X Rising Stars Award (Contribution), 10XCEO Sdn Bhd, 10X Convergence 2024.</w:t>
      </w:r>
    </w:p>
    <w:p>
      <w:pPr>
        <w:pStyle w:val="ListBullet"/>
        <w:spacing w:after="20"/>
      </w:pPr>
      <w:r>
        <w:t>Former National Fencer: represented Malaysia at the Malaysia, Thailand and Singapore Open Championships and the Universiade, Fukuoka (1991 – 1996).</w:t>
      </w:r>
    </w:p>
    <w:p>
      <w:pPr>
        <w:spacing w:before="200" w:after="80"/>
        <w:pBdr>
          <w:bottom w:val="single" w:sz="6" w:space="1" w:color="6B1E2E"/>
        </w:pBdr>
      </w:pPr>
      <w:r>
        <w:rPr>
          <w:b/>
          <w:color w:val="6B1E2E"/>
          <w:sz w:val="23"/>
        </w:rPr>
        <w:t>PROPOSED DBA RESEARCH INTEREST</w:t>
      </w:r>
    </w:p>
    <w:p>
      <w:r>
        <w:t xml:space="preserve">AI adoption and capability building in Malaysian SMEs: how owner-managers decide where AI fits in their business model, and which readiness factors predict measurable productivity and revenue outcomes. </w:t>
      </w:r>
      <w:r>
        <w:rPr>
          <w:highlight w:val="yellow"/>
        </w:rPr>
        <w:t>[Refine with the supervising professor]</w:t>
      </w:r>
      <w: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