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C3EB" w14:textId="77777777" w:rsidR="004770EF" w:rsidRPr="00BF08D6" w:rsidRDefault="004770EF" w:rsidP="004770EF">
      <w:pPr>
        <w:pStyle w:val="SchemaDefinitionenHeader"/>
        <w:rPr>
          <w:b/>
          <w:bCs/>
          <w:color w:val="auto"/>
          <w:sz w:val="36"/>
          <w:szCs w:val="36"/>
        </w:rPr>
      </w:pPr>
      <w:bookmarkStart w:id="0" w:name="header"/>
      <w:r w:rsidRPr="00BF08D6">
        <w:rPr>
          <w:b/>
          <w:bCs/>
          <w:color w:val="auto"/>
          <w:sz w:val="36"/>
          <w:szCs w:val="36"/>
        </w:rPr>
        <w:t>§ 13 I StGB – Begehen durch Unterlassen</w:t>
      </w:r>
    </w:p>
    <w:bookmarkEnd w:id="0"/>
    <w:p w14:paraId="45E43FC9" w14:textId="45E8AE22" w:rsidR="00715314" w:rsidRPr="00AF1A27" w:rsidRDefault="00715314" w:rsidP="00715314">
      <w:pPr>
        <w:pStyle w:val="SchemaDefinitionenHeader"/>
        <w:rPr>
          <w:color w:val="BFBFBF" w:themeColor="background1" w:themeShade="BF"/>
        </w:rPr>
      </w:pPr>
      <w:r w:rsidRPr="00AF1A27">
        <w:rPr>
          <w:color w:val="BFBFBF" w:themeColor="background1" w:themeShade="BF"/>
        </w:rPr>
        <w:t>Kurzschema</w:t>
      </w:r>
    </w:p>
    <w:p w14:paraId="0A6D3947" w14:textId="77777777" w:rsidR="004770EF" w:rsidRPr="00BF08D6" w:rsidRDefault="004770EF" w:rsidP="00715314">
      <w:pPr>
        <w:pStyle w:val="SchemaDefinitionenHeader"/>
        <w:rPr>
          <w:color w:val="auto"/>
        </w:rPr>
      </w:pPr>
    </w:p>
    <w:p w14:paraId="7BC8155E" w14:textId="5800FD4D" w:rsidR="004770EF" w:rsidRPr="00BF08D6" w:rsidRDefault="00000000" w:rsidP="004770EF">
      <w:pPr>
        <w:pStyle w:val="SchemaDefinitionenHeader"/>
        <w:numPr>
          <w:ilvl w:val="0"/>
          <w:numId w:val="27"/>
        </w:numPr>
        <w:rPr>
          <w:b/>
          <w:bCs/>
          <w:color w:val="auto"/>
          <w:sz w:val="18"/>
          <w:szCs w:val="18"/>
        </w:rPr>
      </w:pPr>
      <w:hyperlink w:anchor="Tatbestand" w:history="1">
        <w:r w:rsidR="004770EF" w:rsidRPr="00BF08D6">
          <w:rPr>
            <w:rStyle w:val="Hyperlink"/>
            <w:b/>
            <w:bCs/>
            <w:color w:val="auto"/>
            <w:sz w:val="18"/>
            <w:szCs w:val="18"/>
            <w:u w:val="none"/>
          </w:rPr>
          <w:t>Tatbestand</w:t>
        </w:r>
      </w:hyperlink>
    </w:p>
    <w:p w14:paraId="3B2E72C2" w14:textId="7120338F" w:rsidR="004770EF" w:rsidRPr="00BF08D6" w:rsidRDefault="00000000" w:rsidP="004770EF">
      <w:pPr>
        <w:pStyle w:val="SchemaDefinitionenHeader"/>
        <w:numPr>
          <w:ilvl w:val="1"/>
          <w:numId w:val="2"/>
        </w:numPr>
        <w:ind w:left="1068"/>
        <w:rPr>
          <w:i/>
          <w:iCs/>
          <w:color w:val="auto"/>
          <w:sz w:val="18"/>
          <w:szCs w:val="18"/>
        </w:rPr>
      </w:pPr>
      <w:hyperlink w:anchor="Erfolgseintritt" w:history="1">
        <w:r w:rsidR="004770EF" w:rsidRPr="00BF08D6">
          <w:rPr>
            <w:rStyle w:val="Hyperlink"/>
            <w:i/>
            <w:iCs/>
            <w:color w:val="auto"/>
            <w:sz w:val="18"/>
            <w:szCs w:val="18"/>
            <w:u w:val="none"/>
          </w:rPr>
          <w:t>Erfolgseintritt</w:t>
        </w:r>
      </w:hyperlink>
    </w:p>
    <w:p w14:paraId="55A16351" w14:textId="1AD7C020" w:rsidR="004770EF" w:rsidRPr="00BF08D6" w:rsidRDefault="00000000" w:rsidP="004770EF">
      <w:pPr>
        <w:pStyle w:val="SchemaDefinitionenHeader"/>
        <w:numPr>
          <w:ilvl w:val="1"/>
          <w:numId w:val="2"/>
        </w:numPr>
        <w:ind w:left="1044"/>
        <w:rPr>
          <w:i/>
          <w:iCs/>
          <w:color w:val="auto"/>
          <w:sz w:val="18"/>
          <w:szCs w:val="18"/>
        </w:rPr>
      </w:pPr>
      <w:hyperlink w:anchor="Unterlassen" w:history="1">
        <w:r w:rsidR="004770EF" w:rsidRPr="00BF08D6">
          <w:rPr>
            <w:rStyle w:val="Hyperlink"/>
            <w:i/>
            <w:iCs/>
            <w:color w:val="auto"/>
            <w:sz w:val="18"/>
            <w:szCs w:val="18"/>
            <w:u w:val="none"/>
          </w:rPr>
          <w:t>Unterlassen einer geeigneten und erforderlichen Verhinderungshandlung trotz physisch-realer und individueller Handlungsmöglichkeit</w:t>
        </w:r>
      </w:hyperlink>
    </w:p>
    <w:p w14:paraId="0E48E178" w14:textId="5AF74AD7" w:rsidR="007C1EF8" w:rsidRPr="00BF08D6" w:rsidRDefault="007C1EF8" w:rsidP="007C1EF8">
      <w:pPr>
        <w:pStyle w:val="SchemaDefinitionenHeader"/>
        <w:ind w:left="1392"/>
        <w:rPr>
          <w:iCs/>
          <w:color w:val="auto"/>
          <w:sz w:val="18"/>
          <w:szCs w:val="18"/>
        </w:rPr>
      </w:pPr>
      <w:r w:rsidRPr="00BF08D6">
        <w:rPr>
          <w:b/>
          <w:bCs/>
          <w:iCs/>
          <w:color w:val="auto"/>
          <w:sz w:val="18"/>
          <w:szCs w:val="18"/>
        </w:rPr>
        <w:t xml:space="preserve">P: </w:t>
      </w:r>
      <w:r w:rsidRPr="00BF08D6">
        <w:rPr>
          <w:iCs/>
          <w:color w:val="auto"/>
          <w:sz w:val="18"/>
          <w:szCs w:val="18"/>
        </w:rPr>
        <w:t>Unterscheidung zwischen Tun und Unterlassen</w:t>
      </w:r>
    </w:p>
    <w:p w14:paraId="6FAB0310" w14:textId="0229390E" w:rsidR="00172193" w:rsidRPr="00BF08D6" w:rsidRDefault="00172193" w:rsidP="004770EF">
      <w:pPr>
        <w:pStyle w:val="SchemaDefinitionenHeader"/>
        <w:ind w:left="1392"/>
        <w:rPr>
          <w:iCs/>
          <w:color w:val="auto"/>
          <w:sz w:val="18"/>
          <w:szCs w:val="18"/>
        </w:rPr>
      </w:pPr>
      <w:r w:rsidRPr="00BF08D6">
        <w:rPr>
          <w:b/>
          <w:bCs/>
          <w:iCs/>
          <w:color w:val="auto"/>
          <w:sz w:val="18"/>
          <w:szCs w:val="18"/>
        </w:rPr>
        <w:t xml:space="preserve">P: </w:t>
      </w:r>
      <w:r w:rsidRPr="00BF08D6">
        <w:rPr>
          <w:iCs/>
          <w:color w:val="auto"/>
          <w:sz w:val="18"/>
          <w:szCs w:val="18"/>
        </w:rPr>
        <w:t>Unterlassen beim Abbruch von Rettungshandlungen</w:t>
      </w:r>
      <w:r w:rsidRPr="00BF08D6">
        <w:rPr>
          <w:b/>
          <w:bCs/>
          <w:iCs/>
          <w:color w:val="auto"/>
          <w:sz w:val="18"/>
          <w:szCs w:val="18"/>
        </w:rPr>
        <w:t xml:space="preserve"> </w:t>
      </w:r>
    </w:p>
    <w:p w14:paraId="1983A847" w14:textId="60A64A47" w:rsidR="004770EF" w:rsidRPr="00BF08D6" w:rsidRDefault="004770EF" w:rsidP="004770EF">
      <w:pPr>
        <w:pStyle w:val="SchemaDefinitionenHeader"/>
        <w:ind w:left="1392"/>
        <w:rPr>
          <w:iCs/>
          <w:color w:val="auto"/>
          <w:sz w:val="18"/>
          <w:szCs w:val="18"/>
        </w:rPr>
      </w:pPr>
      <w:r w:rsidRPr="00BF08D6">
        <w:rPr>
          <w:b/>
          <w:bCs/>
          <w:iCs/>
          <w:color w:val="auto"/>
          <w:sz w:val="18"/>
          <w:szCs w:val="18"/>
        </w:rPr>
        <w:t>P:</w:t>
      </w:r>
      <w:r w:rsidRPr="00BF08D6">
        <w:rPr>
          <w:iCs/>
          <w:color w:val="auto"/>
          <w:sz w:val="18"/>
          <w:szCs w:val="18"/>
        </w:rPr>
        <w:t xml:space="preserve"> </w:t>
      </w:r>
      <w:proofErr w:type="spellStart"/>
      <w:r w:rsidRPr="00BF08D6">
        <w:rPr>
          <w:iCs/>
          <w:color w:val="auto"/>
          <w:sz w:val="18"/>
          <w:szCs w:val="18"/>
        </w:rPr>
        <w:t>omissio</w:t>
      </w:r>
      <w:proofErr w:type="spellEnd"/>
      <w:r w:rsidRPr="00BF08D6">
        <w:rPr>
          <w:iCs/>
          <w:color w:val="auto"/>
          <w:sz w:val="18"/>
          <w:szCs w:val="18"/>
        </w:rPr>
        <w:t xml:space="preserve"> </w:t>
      </w:r>
      <w:proofErr w:type="spellStart"/>
      <w:r w:rsidRPr="00BF08D6">
        <w:rPr>
          <w:iCs/>
          <w:color w:val="auto"/>
          <w:sz w:val="18"/>
          <w:szCs w:val="18"/>
        </w:rPr>
        <w:t>libera</w:t>
      </w:r>
      <w:proofErr w:type="spellEnd"/>
      <w:r w:rsidRPr="00BF08D6">
        <w:rPr>
          <w:iCs/>
          <w:color w:val="auto"/>
          <w:sz w:val="18"/>
          <w:szCs w:val="18"/>
        </w:rPr>
        <w:t xml:space="preserve"> in causa (entsprechen den Problemen der </w:t>
      </w:r>
      <w:proofErr w:type="spellStart"/>
      <w:r w:rsidRPr="00BF08D6">
        <w:rPr>
          <w:iCs/>
          <w:color w:val="auto"/>
          <w:sz w:val="18"/>
          <w:szCs w:val="18"/>
        </w:rPr>
        <w:t>actio</w:t>
      </w:r>
      <w:proofErr w:type="spellEnd"/>
      <w:r w:rsidRPr="00BF08D6">
        <w:rPr>
          <w:iCs/>
          <w:color w:val="auto"/>
          <w:sz w:val="18"/>
          <w:szCs w:val="18"/>
        </w:rPr>
        <w:t xml:space="preserve"> </w:t>
      </w:r>
      <w:proofErr w:type="spellStart"/>
      <w:r w:rsidRPr="00BF08D6">
        <w:rPr>
          <w:iCs/>
          <w:color w:val="auto"/>
          <w:sz w:val="18"/>
          <w:szCs w:val="18"/>
        </w:rPr>
        <w:t>libera</w:t>
      </w:r>
      <w:proofErr w:type="spellEnd"/>
      <w:r w:rsidRPr="00BF08D6">
        <w:rPr>
          <w:iCs/>
          <w:color w:val="auto"/>
          <w:sz w:val="18"/>
          <w:szCs w:val="18"/>
        </w:rPr>
        <w:t xml:space="preserve"> in causa)</w:t>
      </w:r>
    </w:p>
    <w:p w14:paraId="7598652F" w14:textId="57422B02" w:rsidR="004770EF" w:rsidRPr="00BF08D6" w:rsidRDefault="00000000" w:rsidP="004770EF">
      <w:pPr>
        <w:pStyle w:val="SchemaDefinitionenHeader"/>
        <w:numPr>
          <w:ilvl w:val="1"/>
          <w:numId w:val="2"/>
        </w:numPr>
        <w:ind w:left="1044"/>
        <w:rPr>
          <w:i/>
          <w:iCs/>
          <w:color w:val="auto"/>
          <w:sz w:val="18"/>
          <w:szCs w:val="18"/>
        </w:rPr>
      </w:pPr>
      <w:hyperlink w:anchor="Quasi_Kausalität" w:history="1">
        <w:r w:rsidR="004770EF" w:rsidRPr="00BF08D6">
          <w:rPr>
            <w:rStyle w:val="Hyperlink"/>
            <w:i/>
            <w:iCs/>
            <w:color w:val="auto"/>
            <w:sz w:val="18"/>
            <w:szCs w:val="18"/>
            <w:u w:val="none"/>
          </w:rPr>
          <w:t xml:space="preserve">Quasi-Kausalität / </w:t>
        </w:r>
        <w:r w:rsidR="004770EF" w:rsidRPr="00BF08D6">
          <w:rPr>
            <w:rStyle w:val="Hyperlink"/>
            <w:bCs/>
            <w:i/>
            <w:iCs/>
            <w:color w:val="auto"/>
            <w:sz w:val="18"/>
            <w:szCs w:val="18"/>
            <w:u w:val="none"/>
          </w:rPr>
          <w:t>umgedrehte conditio-sine-qua-non-Formel</w:t>
        </w:r>
      </w:hyperlink>
    </w:p>
    <w:p w14:paraId="7B299D11" w14:textId="38DCED98" w:rsidR="004770EF" w:rsidRPr="00BF08D6" w:rsidRDefault="00000000" w:rsidP="004770EF">
      <w:pPr>
        <w:pStyle w:val="SchemaDefinitionenHeader"/>
        <w:numPr>
          <w:ilvl w:val="1"/>
          <w:numId w:val="2"/>
        </w:numPr>
        <w:ind w:left="1044"/>
        <w:rPr>
          <w:rStyle w:val="Hyperlink"/>
          <w:i/>
          <w:iCs/>
          <w:color w:val="auto"/>
          <w:sz w:val="18"/>
          <w:szCs w:val="18"/>
          <w:u w:val="none"/>
        </w:rPr>
      </w:pPr>
      <w:hyperlink w:anchor="Garantenstellung" w:history="1">
        <w:r w:rsidR="004770EF" w:rsidRPr="00BF08D6">
          <w:rPr>
            <w:rStyle w:val="Hyperlink"/>
            <w:i/>
            <w:iCs/>
            <w:color w:val="auto"/>
            <w:sz w:val="18"/>
            <w:szCs w:val="18"/>
            <w:u w:val="none"/>
          </w:rPr>
          <w:t>Garantenstellung</w:t>
        </w:r>
      </w:hyperlink>
    </w:p>
    <w:p w14:paraId="2EEEE9E9" w14:textId="431D8EF0" w:rsidR="00172193" w:rsidRPr="00BF08D6" w:rsidRDefault="00172193" w:rsidP="00BF08D6">
      <w:pPr>
        <w:pStyle w:val="SchemaDefinitionenHeader"/>
        <w:ind w:left="1032" w:firstLine="384"/>
        <w:rPr>
          <w:iCs/>
          <w:color w:val="auto"/>
          <w:sz w:val="18"/>
          <w:szCs w:val="18"/>
        </w:rPr>
      </w:pPr>
      <w:r w:rsidRPr="00BF08D6">
        <w:rPr>
          <w:b/>
          <w:bCs/>
          <w:iCs/>
          <w:color w:val="auto"/>
          <w:sz w:val="18"/>
          <w:szCs w:val="18"/>
        </w:rPr>
        <w:t>P:</w:t>
      </w:r>
      <w:r w:rsidRPr="00BF08D6">
        <w:rPr>
          <w:iCs/>
          <w:color w:val="auto"/>
          <w:sz w:val="18"/>
          <w:szCs w:val="18"/>
        </w:rPr>
        <w:t xml:space="preserve"> Möglichkeit der Garantenstellung aus Ingerenz bei gerechtfertigtem Vorverhalten </w:t>
      </w:r>
    </w:p>
    <w:p w14:paraId="22BAC7DE" w14:textId="179E182D" w:rsidR="004770EF" w:rsidRPr="00BF08D6" w:rsidRDefault="00000000" w:rsidP="004770EF">
      <w:pPr>
        <w:pStyle w:val="SchemaDefinitionenHeader"/>
        <w:numPr>
          <w:ilvl w:val="1"/>
          <w:numId w:val="2"/>
        </w:numPr>
        <w:ind w:left="1044"/>
        <w:rPr>
          <w:i/>
          <w:iCs/>
          <w:color w:val="auto"/>
          <w:sz w:val="18"/>
          <w:szCs w:val="18"/>
        </w:rPr>
      </w:pPr>
      <w:hyperlink w:anchor="Obj_Zurechnung" w:history="1">
        <w:r w:rsidR="004770EF" w:rsidRPr="00BF08D6">
          <w:rPr>
            <w:rStyle w:val="Hyperlink"/>
            <w:i/>
            <w:iCs/>
            <w:color w:val="auto"/>
            <w:sz w:val="18"/>
            <w:szCs w:val="18"/>
            <w:u w:val="none"/>
          </w:rPr>
          <w:t>Objektive Zurechnung</w:t>
        </w:r>
      </w:hyperlink>
    </w:p>
    <w:p w14:paraId="72926271" w14:textId="0FDE6696" w:rsidR="004770EF" w:rsidRPr="00BF08D6" w:rsidRDefault="00000000" w:rsidP="004770EF">
      <w:pPr>
        <w:pStyle w:val="SchemaDefinitionenHeader"/>
        <w:numPr>
          <w:ilvl w:val="1"/>
          <w:numId w:val="2"/>
        </w:numPr>
        <w:ind w:left="1044"/>
        <w:rPr>
          <w:i/>
          <w:iCs/>
          <w:color w:val="auto"/>
          <w:sz w:val="18"/>
          <w:szCs w:val="18"/>
        </w:rPr>
      </w:pPr>
      <w:hyperlink w:anchor="Entsprechungsklausel" w:history="1">
        <w:r w:rsidR="004770EF" w:rsidRPr="00BF08D6">
          <w:rPr>
            <w:rStyle w:val="Hyperlink"/>
            <w:i/>
            <w:iCs/>
            <w:color w:val="auto"/>
            <w:sz w:val="18"/>
            <w:szCs w:val="18"/>
            <w:u w:val="none"/>
          </w:rPr>
          <w:t>Entsprechungsklausel</w:t>
        </w:r>
      </w:hyperlink>
    </w:p>
    <w:p w14:paraId="714AB66F" w14:textId="16AA1DAF" w:rsidR="004770EF" w:rsidRPr="00BF08D6" w:rsidRDefault="00000000" w:rsidP="004770EF">
      <w:pPr>
        <w:pStyle w:val="SchemaDefinitionenHeader"/>
        <w:numPr>
          <w:ilvl w:val="1"/>
          <w:numId w:val="2"/>
        </w:numPr>
        <w:ind w:left="1044"/>
        <w:rPr>
          <w:i/>
          <w:iCs/>
          <w:color w:val="auto"/>
          <w:sz w:val="18"/>
          <w:szCs w:val="18"/>
        </w:rPr>
      </w:pPr>
      <w:hyperlink w:anchor="Vorsatz" w:history="1">
        <w:r w:rsidR="004770EF" w:rsidRPr="00BF08D6">
          <w:rPr>
            <w:rStyle w:val="Hyperlink"/>
            <w:i/>
            <w:iCs/>
            <w:color w:val="auto"/>
            <w:sz w:val="18"/>
            <w:szCs w:val="18"/>
            <w:u w:val="none"/>
          </w:rPr>
          <w:t>Vorsatz</w:t>
        </w:r>
      </w:hyperlink>
    </w:p>
    <w:p w14:paraId="2E904CBB" w14:textId="67B20E1F" w:rsidR="004770EF" w:rsidRPr="00BF08D6" w:rsidRDefault="00000000" w:rsidP="004770EF">
      <w:pPr>
        <w:pStyle w:val="SchemaDefinitionenHeader"/>
        <w:numPr>
          <w:ilvl w:val="1"/>
          <w:numId w:val="2"/>
        </w:numPr>
        <w:ind w:left="1044"/>
        <w:rPr>
          <w:i/>
          <w:iCs/>
          <w:color w:val="auto"/>
          <w:sz w:val="18"/>
          <w:szCs w:val="18"/>
        </w:rPr>
      </w:pPr>
      <w:hyperlink w:anchor="Sonstige" w:history="1">
        <w:r w:rsidR="004770EF" w:rsidRPr="00BF08D6">
          <w:rPr>
            <w:rStyle w:val="Hyperlink"/>
            <w:i/>
            <w:color w:val="auto"/>
            <w:sz w:val="18"/>
            <w:szCs w:val="18"/>
            <w:u w:val="none"/>
          </w:rPr>
          <w:t>Sonstige spezifische subjektiven Tatbestandsmerkmale (z.B. Absichten)</w:t>
        </w:r>
      </w:hyperlink>
    </w:p>
    <w:p w14:paraId="70DC5BB3" w14:textId="05E2C8F2" w:rsidR="004770EF" w:rsidRPr="00BF08D6" w:rsidRDefault="00000000" w:rsidP="004770EF">
      <w:pPr>
        <w:pStyle w:val="SchemaDefinitionenHeader"/>
        <w:numPr>
          <w:ilvl w:val="0"/>
          <w:numId w:val="2"/>
        </w:numPr>
        <w:ind w:left="360"/>
        <w:rPr>
          <w:b/>
          <w:bCs/>
          <w:color w:val="auto"/>
          <w:sz w:val="18"/>
          <w:szCs w:val="18"/>
        </w:rPr>
      </w:pPr>
      <w:hyperlink w:anchor="RW" w:history="1">
        <w:r w:rsidR="004770EF" w:rsidRPr="00BF08D6">
          <w:rPr>
            <w:rStyle w:val="Hyperlink"/>
            <w:b/>
            <w:bCs/>
            <w:color w:val="auto"/>
            <w:sz w:val="18"/>
            <w:szCs w:val="18"/>
            <w:u w:val="none"/>
          </w:rPr>
          <w:t>Rechtswidrigkeit</w:t>
        </w:r>
      </w:hyperlink>
    </w:p>
    <w:p w14:paraId="1353E049" w14:textId="51FF7F41" w:rsidR="004770EF" w:rsidRPr="00BF08D6" w:rsidRDefault="004770EF" w:rsidP="004770EF">
      <w:pPr>
        <w:pStyle w:val="SchemaDefinitionenHeader"/>
        <w:ind w:left="708"/>
        <w:rPr>
          <w:iCs/>
          <w:color w:val="auto"/>
          <w:sz w:val="18"/>
          <w:szCs w:val="18"/>
        </w:rPr>
      </w:pPr>
      <w:r w:rsidRPr="00BF08D6">
        <w:rPr>
          <w:b/>
          <w:bCs/>
          <w:iCs/>
          <w:color w:val="auto"/>
          <w:sz w:val="18"/>
          <w:szCs w:val="18"/>
        </w:rPr>
        <w:t>P:</w:t>
      </w:r>
      <w:r w:rsidRPr="00BF08D6">
        <w:rPr>
          <w:iCs/>
          <w:color w:val="auto"/>
          <w:sz w:val="18"/>
          <w:szCs w:val="18"/>
        </w:rPr>
        <w:t xml:space="preserve"> Rechtfertigende Pflichtenkollision </w:t>
      </w:r>
    </w:p>
    <w:p w14:paraId="40EF3CE0" w14:textId="0F1B2BCC" w:rsidR="00715314" w:rsidRPr="00BF08D6" w:rsidRDefault="00000000" w:rsidP="004770EF">
      <w:pPr>
        <w:pStyle w:val="SchemaDefinitionenHeader"/>
        <w:numPr>
          <w:ilvl w:val="0"/>
          <w:numId w:val="2"/>
        </w:numPr>
        <w:ind w:left="360"/>
        <w:rPr>
          <w:b/>
          <w:bCs/>
          <w:color w:val="auto"/>
          <w:sz w:val="18"/>
          <w:szCs w:val="18"/>
        </w:rPr>
      </w:pPr>
      <w:hyperlink w:anchor="Schuld" w:history="1">
        <w:r w:rsidR="004770EF" w:rsidRPr="00BF08D6">
          <w:rPr>
            <w:rStyle w:val="Hyperlink"/>
            <w:b/>
            <w:bCs/>
            <w:color w:val="auto"/>
            <w:sz w:val="18"/>
            <w:szCs w:val="18"/>
            <w:u w:val="none"/>
          </w:rPr>
          <w:t>Schuld</w:t>
        </w:r>
      </w:hyperlink>
      <w:r w:rsidR="00715314" w:rsidRPr="00BF08D6">
        <w:rPr>
          <w:b/>
          <w:bCs/>
          <w:color w:val="auto"/>
          <w:sz w:val="36"/>
          <w:szCs w:val="36"/>
        </w:rPr>
        <w:br w:type="page"/>
      </w:r>
    </w:p>
    <w:p w14:paraId="1879ABF8" w14:textId="77777777" w:rsidR="004770EF" w:rsidRPr="00BF08D6" w:rsidRDefault="004770EF" w:rsidP="004770EF">
      <w:pPr>
        <w:pStyle w:val="SchemaDefinitionenHeader"/>
        <w:rPr>
          <w:b/>
          <w:bCs/>
          <w:color w:val="auto"/>
          <w:sz w:val="36"/>
          <w:szCs w:val="36"/>
        </w:rPr>
      </w:pPr>
      <w:r w:rsidRPr="00BF08D6">
        <w:rPr>
          <w:b/>
          <w:bCs/>
          <w:color w:val="auto"/>
          <w:sz w:val="36"/>
          <w:szCs w:val="36"/>
        </w:rPr>
        <w:lastRenderedPageBreak/>
        <w:t>§ 13 I StGB – Begehen durch Unterlassen</w:t>
      </w:r>
    </w:p>
    <w:p w14:paraId="0EC7141A" w14:textId="77777777" w:rsidR="004770EF" w:rsidRPr="00AF1A27" w:rsidRDefault="004770EF" w:rsidP="004770EF">
      <w:pPr>
        <w:pStyle w:val="SchemaDefinitionenHeader"/>
        <w:rPr>
          <w:color w:val="BFBFBF" w:themeColor="background1" w:themeShade="BF"/>
        </w:rPr>
      </w:pPr>
      <w:r w:rsidRPr="00AF1A27">
        <w:rPr>
          <w:color w:val="BFBFBF" w:themeColor="background1" w:themeShade="BF"/>
        </w:rPr>
        <w:t>Schema</w:t>
      </w:r>
    </w:p>
    <w:p w14:paraId="065AD61B" w14:textId="5DFF75E9" w:rsidR="004770EF" w:rsidRPr="00BF08D6" w:rsidRDefault="004770EF" w:rsidP="004770EF">
      <w:pPr>
        <w:pStyle w:val="Tatbestandberschriften"/>
        <w:tabs>
          <w:tab w:val="left" w:pos="3965"/>
        </w:tabs>
        <w:spacing w:after="0"/>
      </w:pPr>
    </w:p>
    <w:p w14:paraId="2213260B" w14:textId="1D379B1F" w:rsidR="00AF1ACA" w:rsidRPr="00BF08D6" w:rsidRDefault="00AF1ACA" w:rsidP="00AF1ACA">
      <w:pPr>
        <w:pStyle w:val="Tatbestandberschriften"/>
        <w:tabs>
          <w:tab w:val="left" w:pos="3965"/>
        </w:tabs>
        <w:spacing w:after="0"/>
        <w:rPr>
          <w:b w:val="0"/>
          <w:bCs/>
        </w:rPr>
      </w:pPr>
      <w:r w:rsidRPr="00BF08D6">
        <w:t xml:space="preserve">Merke: </w:t>
      </w:r>
      <w:r w:rsidRPr="00BF08D6">
        <w:rPr>
          <w:b w:val="0"/>
          <w:bCs/>
        </w:rPr>
        <w:t xml:space="preserve">Man unterscheidet zwischen unechten und echten Unterlassungsdelikten. </w:t>
      </w:r>
      <w:bookmarkStart w:id="1" w:name="_Hlk109069617"/>
      <w:r w:rsidRPr="00BF08D6">
        <w:rPr>
          <w:b w:val="0"/>
          <w:bCs/>
        </w:rPr>
        <w:t xml:space="preserve">Echte Unterlassungsdelikte sind dadurch charakterisiert, dass bereits der Wortlaut des Tatbestandes hergibt, dass ein konkretes Nichthandeln oder ein Unterlassen unter Strafe steht, vgl. Wortlaut § 323c StGB oder </w:t>
      </w:r>
      <w:bookmarkStart w:id="2" w:name="_Hlk109069488"/>
      <w:r w:rsidRPr="00BF08D6">
        <w:rPr>
          <w:b w:val="0"/>
          <w:bCs/>
        </w:rPr>
        <w:t>§ 123 I Var. 2 StGB.</w:t>
      </w:r>
      <w:bookmarkEnd w:id="1"/>
      <w:bookmarkEnd w:id="2"/>
      <w:r w:rsidR="000A233F" w:rsidRPr="00BF08D6">
        <w:rPr>
          <w:b w:val="0"/>
          <w:bCs/>
        </w:rPr>
        <w:t xml:space="preserve"> Diese Delikte kann man also „nur“ durch Unterlassen begehen.</w:t>
      </w:r>
    </w:p>
    <w:p w14:paraId="2C5B5F2F" w14:textId="0993FE1F" w:rsidR="00AF1ACA" w:rsidRPr="00BF08D6" w:rsidRDefault="009815FA" w:rsidP="00AF1ACA">
      <w:pPr>
        <w:pStyle w:val="Tatbestandberschriften"/>
        <w:tabs>
          <w:tab w:val="left" w:pos="3965"/>
        </w:tabs>
        <w:spacing w:after="0"/>
        <w:rPr>
          <w:b w:val="0"/>
          <w:bCs/>
        </w:rPr>
      </w:pPr>
      <w:bookmarkStart w:id="3" w:name="_Hlk109069590"/>
      <w:r w:rsidRPr="00BF08D6">
        <w:rPr>
          <w:b w:val="0"/>
          <w:bCs/>
        </w:rPr>
        <w:t xml:space="preserve">Unechte Unterlassungsdelikte zeichnen sich dadurch aus, dass </w:t>
      </w:r>
      <w:r w:rsidR="00AF1ACA" w:rsidRPr="00BF08D6">
        <w:rPr>
          <w:b w:val="0"/>
          <w:bCs/>
        </w:rPr>
        <w:t xml:space="preserve">Tatbestände, deren Tatbestandsverwirklichung </w:t>
      </w:r>
      <w:r w:rsidRPr="00BF08D6">
        <w:rPr>
          <w:b w:val="0"/>
          <w:bCs/>
        </w:rPr>
        <w:t xml:space="preserve">dem Wortlaut </w:t>
      </w:r>
      <w:proofErr w:type="gramStart"/>
      <w:r w:rsidRPr="00BF08D6">
        <w:rPr>
          <w:b w:val="0"/>
          <w:bCs/>
        </w:rPr>
        <w:t xml:space="preserve">nach </w:t>
      </w:r>
      <w:r w:rsidR="00AF1ACA" w:rsidRPr="00BF08D6">
        <w:rPr>
          <w:b w:val="0"/>
          <w:bCs/>
        </w:rPr>
        <w:t>ein aktives Tun</w:t>
      </w:r>
      <w:proofErr w:type="gramEnd"/>
      <w:r w:rsidR="00AF1ACA" w:rsidRPr="00BF08D6">
        <w:rPr>
          <w:b w:val="0"/>
          <w:bCs/>
        </w:rPr>
        <w:t xml:space="preserve"> voraussetzen</w:t>
      </w:r>
      <w:r w:rsidRPr="00BF08D6">
        <w:rPr>
          <w:b w:val="0"/>
          <w:bCs/>
        </w:rPr>
        <w:t>,</w:t>
      </w:r>
      <w:r w:rsidR="00AF1ACA" w:rsidRPr="00BF08D6">
        <w:rPr>
          <w:b w:val="0"/>
          <w:bCs/>
        </w:rPr>
        <w:t xml:space="preserve"> durch Unterlassen </w:t>
      </w:r>
      <w:r w:rsidRPr="00BF08D6">
        <w:rPr>
          <w:b w:val="0"/>
          <w:bCs/>
        </w:rPr>
        <w:t xml:space="preserve">einer Verhinderungshandlung </w:t>
      </w:r>
      <w:r w:rsidR="00AF1ACA" w:rsidRPr="00BF08D6">
        <w:rPr>
          <w:b w:val="0"/>
          <w:bCs/>
        </w:rPr>
        <w:t xml:space="preserve">verwirklicht werden. </w:t>
      </w:r>
      <w:r w:rsidRPr="00BF08D6">
        <w:rPr>
          <w:b w:val="0"/>
          <w:bCs/>
        </w:rPr>
        <w:t>Dabei muss der Täter zur Erfolgsabwehr verpflichtet, mithin ein Garant sein. Denkbar ist beispielsweise die Tötung durch Unterlassung nach §§ 212, 13 StGB, wenn eine Mutter ihr Baby nicht mehr füttert</w:t>
      </w:r>
      <w:r w:rsidR="000A233F" w:rsidRPr="00BF08D6">
        <w:rPr>
          <w:b w:val="0"/>
          <w:bCs/>
        </w:rPr>
        <w:t xml:space="preserve"> </w:t>
      </w:r>
      <w:r w:rsidR="00AF1ACA" w:rsidRPr="00BF08D6">
        <w:rPr>
          <w:b w:val="0"/>
          <w:bCs/>
        </w:rPr>
        <w:t>(</w:t>
      </w:r>
      <w:proofErr w:type="spellStart"/>
      <w:r w:rsidR="00AF1ACA" w:rsidRPr="00BF08D6">
        <w:rPr>
          <w:b w:val="0"/>
          <w:bCs/>
        </w:rPr>
        <w:t>JuS</w:t>
      </w:r>
      <w:proofErr w:type="spellEnd"/>
      <w:r w:rsidR="00AF1ACA" w:rsidRPr="00BF08D6">
        <w:rPr>
          <w:b w:val="0"/>
          <w:bCs/>
        </w:rPr>
        <w:t xml:space="preserve"> 2010, 490)</w:t>
      </w:r>
      <w:r w:rsidR="000A233F" w:rsidRPr="00BF08D6">
        <w:rPr>
          <w:b w:val="0"/>
          <w:bCs/>
        </w:rPr>
        <w:t xml:space="preserve">. Unechte Unterlassungsdelikte sind </w:t>
      </w:r>
      <w:proofErr w:type="gramStart"/>
      <w:r w:rsidR="000A233F" w:rsidRPr="00BF08D6">
        <w:rPr>
          <w:b w:val="0"/>
          <w:bCs/>
        </w:rPr>
        <w:t>daher eigentlich</w:t>
      </w:r>
      <w:proofErr w:type="gramEnd"/>
      <w:r w:rsidR="000A233F" w:rsidRPr="00BF08D6">
        <w:rPr>
          <w:b w:val="0"/>
          <w:bCs/>
        </w:rPr>
        <w:t xml:space="preserve"> aktive Begehungsdelikte, die </w:t>
      </w:r>
      <w:r w:rsidR="0080325C" w:rsidRPr="00BF08D6">
        <w:rPr>
          <w:b w:val="0"/>
          <w:bCs/>
        </w:rPr>
        <w:t xml:space="preserve">aber </w:t>
      </w:r>
      <w:r w:rsidR="000A233F" w:rsidRPr="00BF08D6">
        <w:rPr>
          <w:b w:val="0"/>
          <w:bCs/>
        </w:rPr>
        <w:t xml:space="preserve">gem. § 13 StGB unter dessen speziellen Voraussetzungen auch durch Unterlassen begangen werden können. </w:t>
      </w:r>
    </w:p>
    <w:bookmarkEnd w:id="3"/>
    <w:p w14:paraId="188E3F3C" w14:textId="2BFE60BA" w:rsidR="00AF1ACA" w:rsidRPr="00BF08D6" w:rsidRDefault="00AF1ACA" w:rsidP="00AF1ACA">
      <w:pPr>
        <w:pStyle w:val="Tatbestandberschriften"/>
        <w:tabs>
          <w:tab w:val="left" w:pos="3965"/>
        </w:tabs>
        <w:spacing w:after="0"/>
      </w:pPr>
    </w:p>
    <w:p w14:paraId="58D17A3D" w14:textId="77777777" w:rsidR="00AF1ACA" w:rsidRPr="00BF08D6" w:rsidRDefault="00AF1ACA" w:rsidP="00AF1ACA">
      <w:pPr>
        <w:pStyle w:val="Tatbestandberschriften"/>
        <w:tabs>
          <w:tab w:val="left" w:pos="3965"/>
        </w:tabs>
        <w:spacing w:after="0"/>
      </w:pPr>
    </w:p>
    <w:p w14:paraId="65D4872C" w14:textId="41657073" w:rsidR="004770EF" w:rsidRPr="00BF08D6" w:rsidRDefault="004770EF" w:rsidP="008D6EEB">
      <w:pPr>
        <w:pStyle w:val="SchemaDefinitionenHeader"/>
        <w:numPr>
          <w:ilvl w:val="0"/>
          <w:numId w:val="29"/>
        </w:numPr>
        <w:rPr>
          <w:b/>
          <w:bCs/>
          <w:color w:val="auto"/>
        </w:rPr>
      </w:pPr>
      <w:bookmarkStart w:id="4" w:name="Tatbestand"/>
      <w:r w:rsidRPr="00BF08D6">
        <w:rPr>
          <w:b/>
          <w:bCs/>
          <w:color w:val="auto"/>
        </w:rPr>
        <w:t>Tatbestand</w:t>
      </w:r>
    </w:p>
    <w:p w14:paraId="5D3AF807" w14:textId="4EA6DB4A" w:rsidR="00635A21" w:rsidRPr="00BF08D6" w:rsidRDefault="004770EF" w:rsidP="008D6EEB">
      <w:pPr>
        <w:pStyle w:val="SchemaDefinitionenHeader"/>
        <w:numPr>
          <w:ilvl w:val="1"/>
          <w:numId w:val="29"/>
        </w:numPr>
        <w:ind w:left="1068"/>
        <w:rPr>
          <w:i/>
          <w:iCs/>
          <w:color w:val="auto"/>
        </w:rPr>
      </w:pPr>
      <w:bookmarkStart w:id="5" w:name="Erfolgseintritt"/>
      <w:bookmarkEnd w:id="4"/>
      <w:r w:rsidRPr="00BF08D6">
        <w:rPr>
          <w:i/>
          <w:iCs/>
          <w:color w:val="auto"/>
        </w:rPr>
        <w:t>Erfolgseintritt</w:t>
      </w:r>
    </w:p>
    <w:p w14:paraId="6247DC54" w14:textId="22699244" w:rsidR="00635A21" w:rsidRPr="00BF08D6" w:rsidRDefault="004770EF" w:rsidP="00B8537D">
      <w:pPr>
        <w:pStyle w:val="SchemaDefinitionenHeader"/>
        <w:numPr>
          <w:ilvl w:val="1"/>
          <w:numId w:val="29"/>
        </w:numPr>
        <w:ind w:left="1068"/>
        <w:rPr>
          <w:color w:val="auto"/>
        </w:rPr>
      </w:pPr>
      <w:bookmarkStart w:id="6" w:name="Unterlassen"/>
      <w:bookmarkEnd w:id="5"/>
      <w:r w:rsidRPr="00BF08D6">
        <w:rPr>
          <w:i/>
          <w:iCs/>
          <w:color w:val="auto"/>
        </w:rPr>
        <w:t>Unterlassen einer geeigneten und erforderlichen Verhinderungshandlung trotz physisch-realer und individueller Handlungsmöglichkeit</w:t>
      </w:r>
      <w:bookmarkEnd w:id="6"/>
    </w:p>
    <w:p w14:paraId="346E0D3D" w14:textId="1411C308" w:rsidR="004770EF" w:rsidRPr="00BF08D6" w:rsidRDefault="00635A21" w:rsidP="00B8537D">
      <w:pPr>
        <w:pStyle w:val="SchemaDefinitionenHeader"/>
        <w:ind w:left="1068"/>
        <w:rPr>
          <w:iCs/>
          <w:color w:val="auto"/>
        </w:rPr>
      </w:pPr>
      <w:r w:rsidRPr="00BF08D6">
        <w:rPr>
          <w:iCs/>
          <w:color w:val="auto"/>
        </w:rPr>
        <w:t xml:space="preserve">Der Täter muss eine geeignete und erforderliche Verhinderungshandlung unterlassen haben, trotz physisch-realer und individueller Handlungsmöglichkeit. </w:t>
      </w:r>
      <w:r w:rsidR="004770EF" w:rsidRPr="00BF08D6">
        <w:rPr>
          <w:iCs/>
          <w:color w:val="auto"/>
        </w:rPr>
        <w:t xml:space="preserve">Der Unterlassende muss </w:t>
      </w:r>
      <w:proofErr w:type="gramStart"/>
      <w:r w:rsidRPr="00BF08D6">
        <w:rPr>
          <w:iCs/>
          <w:color w:val="auto"/>
        </w:rPr>
        <w:t xml:space="preserve">entsprechend </w:t>
      </w:r>
      <w:r w:rsidR="004770EF" w:rsidRPr="00BF08D6">
        <w:rPr>
          <w:iCs/>
          <w:color w:val="auto"/>
        </w:rPr>
        <w:t>die Möglichkeit</w:t>
      </w:r>
      <w:proofErr w:type="gramEnd"/>
      <w:r w:rsidR="004770EF" w:rsidRPr="00BF08D6">
        <w:rPr>
          <w:iCs/>
          <w:color w:val="auto"/>
        </w:rPr>
        <w:t xml:space="preserve"> zur Verhinderung des Erfolgs haben, da Unmögliches nicht verlangt werden kann.</w:t>
      </w:r>
    </w:p>
    <w:p w14:paraId="0873CFAB" w14:textId="51E00968" w:rsidR="001F24BA" w:rsidRPr="00BF08D6" w:rsidRDefault="001F24BA" w:rsidP="00BF08D6">
      <w:pPr>
        <w:pStyle w:val="SchemaDefinitionenHeader"/>
        <w:ind w:left="1044"/>
        <w:rPr>
          <w:iCs/>
          <w:color w:val="auto"/>
        </w:rPr>
      </w:pPr>
      <w:r w:rsidRPr="00BF08D6">
        <w:rPr>
          <w:iCs/>
          <w:color w:val="auto"/>
        </w:rPr>
        <w:t>Die Erfolgsabwendung muss dem Täter auch zumutbar sein. Für die Beurteilung der Zumutbarkeit kommt es auf Lage und Fähigkeit des Garanten, auf Nähe und Schwere der Gefahr und die Bedeutung des Rechtsgutes an.</w:t>
      </w:r>
    </w:p>
    <w:p w14:paraId="7CFEA8C2" w14:textId="0983D8ED" w:rsidR="004770EF" w:rsidRDefault="004770EF" w:rsidP="004770EF">
      <w:pPr>
        <w:pStyle w:val="SchemaDefinitionenHeader"/>
        <w:ind w:left="1044"/>
        <w:rPr>
          <w:iCs/>
          <w:color w:val="auto"/>
        </w:rPr>
      </w:pPr>
    </w:p>
    <w:p w14:paraId="1B65C539" w14:textId="77777777" w:rsidR="00842D81" w:rsidRPr="00842D81" w:rsidRDefault="00842D81" w:rsidP="00842D81">
      <w:pPr>
        <w:pStyle w:val="SchemaDefinitionenHeader"/>
        <w:ind w:left="1392"/>
        <w:rPr>
          <w:iCs/>
          <w:color w:val="auto"/>
        </w:rPr>
      </w:pPr>
      <w:r w:rsidRPr="00842D81">
        <w:rPr>
          <w:b/>
          <w:bCs/>
          <w:iCs/>
          <w:color w:val="auto"/>
        </w:rPr>
        <w:t xml:space="preserve">P: </w:t>
      </w:r>
      <w:r w:rsidRPr="00842D81">
        <w:rPr>
          <w:iCs/>
          <w:color w:val="auto"/>
        </w:rPr>
        <w:t>Unterscheidung zwischen Tun und Unterlassen</w:t>
      </w:r>
    </w:p>
    <w:p w14:paraId="2A4BDA80" w14:textId="77777777" w:rsidR="00842D81" w:rsidRPr="00842D81" w:rsidRDefault="00842D81" w:rsidP="00842D81">
      <w:pPr>
        <w:pStyle w:val="SchemaDefinitionenHeader"/>
        <w:ind w:left="1392"/>
        <w:rPr>
          <w:iCs/>
          <w:color w:val="auto"/>
        </w:rPr>
      </w:pPr>
      <w:r w:rsidRPr="00842D81">
        <w:rPr>
          <w:b/>
          <w:bCs/>
          <w:iCs/>
          <w:color w:val="auto"/>
        </w:rPr>
        <w:t xml:space="preserve">P: </w:t>
      </w:r>
      <w:r w:rsidRPr="00842D81">
        <w:rPr>
          <w:iCs/>
          <w:color w:val="auto"/>
        </w:rPr>
        <w:t>Unterlassen beim Abbruch von Rettungshandlungen</w:t>
      </w:r>
      <w:r w:rsidRPr="00842D81">
        <w:rPr>
          <w:b/>
          <w:bCs/>
          <w:iCs/>
          <w:color w:val="auto"/>
        </w:rPr>
        <w:t xml:space="preserve"> </w:t>
      </w:r>
    </w:p>
    <w:p w14:paraId="3B0A1C38" w14:textId="77777777" w:rsidR="00842D81" w:rsidRPr="00842D81" w:rsidRDefault="00842D81" w:rsidP="00842D81">
      <w:pPr>
        <w:pStyle w:val="SchemaDefinitionenHeader"/>
        <w:ind w:left="1392"/>
        <w:rPr>
          <w:iCs/>
          <w:color w:val="auto"/>
        </w:rPr>
      </w:pPr>
      <w:r w:rsidRPr="00842D81">
        <w:rPr>
          <w:b/>
          <w:bCs/>
          <w:iCs/>
          <w:color w:val="auto"/>
        </w:rPr>
        <w:t>P:</w:t>
      </w:r>
      <w:r w:rsidRPr="00842D81">
        <w:rPr>
          <w:iCs/>
          <w:color w:val="auto"/>
        </w:rPr>
        <w:t xml:space="preserve"> </w:t>
      </w:r>
      <w:proofErr w:type="spellStart"/>
      <w:r w:rsidRPr="00842D81">
        <w:rPr>
          <w:iCs/>
          <w:color w:val="auto"/>
        </w:rPr>
        <w:t>omissio</w:t>
      </w:r>
      <w:proofErr w:type="spellEnd"/>
      <w:r w:rsidRPr="00842D81">
        <w:rPr>
          <w:iCs/>
          <w:color w:val="auto"/>
        </w:rPr>
        <w:t xml:space="preserve"> </w:t>
      </w:r>
      <w:proofErr w:type="spellStart"/>
      <w:r w:rsidRPr="00842D81">
        <w:rPr>
          <w:iCs/>
          <w:color w:val="auto"/>
        </w:rPr>
        <w:t>libera</w:t>
      </w:r>
      <w:proofErr w:type="spellEnd"/>
      <w:r w:rsidRPr="00842D81">
        <w:rPr>
          <w:iCs/>
          <w:color w:val="auto"/>
        </w:rPr>
        <w:t xml:space="preserve"> in causa (entsprechen den Problemen der </w:t>
      </w:r>
      <w:proofErr w:type="spellStart"/>
      <w:r w:rsidRPr="00842D81">
        <w:rPr>
          <w:iCs/>
          <w:color w:val="auto"/>
        </w:rPr>
        <w:t>actio</w:t>
      </w:r>
      <w:proofErr w:type="spellEnd"/>
      <w:r w:rsidRPr="00842D81">
        <w:rPr>
          <w:iCs/>
          <w:color w:val="auto"/>
        </w:rPr>
        <w:t xml:space="preserve"> </w:t>
      </w:r>
      <w:proofErr w:type="spellStart"/>
      <w:r w:rsidRPr="00842D81">
        <w:rPr>
          <w:iCs/>
          <w:color w:val="auto"/>
        </w:rPr>
        <w:t>libera</w:t>
      </w:r>
      <w:proofErr w:type="spellEnd"/>
      <w:r w:rsidRPr="00842D81">
        <w:rPr>
          <w:iCs/>
          <w:color w:val="auto"/>
        </w:rPr>
        <w:t xml:space="preserve"> in causa)</w:t>
      </w:r>
    </w:p>
    <w:p w14:paraId="2225B38C" w14:textId="77777777" w:rsidR="00842D81" w:rsidRPr="00BF08D6" w:rsidRDefault="00842D81" w:rsidP="004770EF">
      <w:pPr>
        <w:pStyle w:val="SchemaDefinitionenHeader"/>
        <w:ind w:left="1044"/>
        <w:rPr>
          <w:iCs/>
          <w:color w:val="auto"/>
        </w:rPr>
      </w:pPr>
    </w:p>
    <w:p w14:paraId="5FE7D0C0" w14:textId="77777777" w:rsidR="00842D81" w:rsidRDefault="00842D81" w:rsidP="00632DCA">
      <w:pPr>
        <w:pStyle w:val="SchemaDefinitionenHeader"/>
        <w:ind w:left="1392"/>
        <w:rPr>
          <w:iCs/>
          <w:color w:val="auto"/>
        </w:rPr>
      </w:pPr>
    </w:p>
    <w:p w14:paraId="65BBC0AF" w14:textId="70469C51" w:rsidR="00632DCA" w:rsidRPr="00BF08D6" w:rsidRDefault="00AC506C" w:rsidP="00632DCA">
      <w:pPr>
        <w:pStyle w:val="SchemaDefinitionenHeader"/>
        <w:ind w:left="1392"/>
        <w:rPr>
          <w:iCs/>
          <w:color w:val="auto"/>
        </w:rPr>
      </w:pPr>
      <w:r w:rsidRPr="00842D81">
        <w:rPr>
          <w:iCs/>
          <w:color w:val="auto"/>
        </w:rPr>
        <w:lastRenderedPageBreak/>
        <w:t>Zu</w:t>
      </w:r>
      <w:r w:rsidRPr="00BF08D6">
        <w:rPr>
          <w:b/>
          <w:bCs/>
          <w:iCs/>
          <w:color w:val="auto"/>
        </w:rPr>
        <w:t xml:space="preserve"> </w:t>
      </w:r>
      <w:r w:rsidR="00632DCA" w:rsidRPr="00BF08D6">
        <w:rPr>
          <w:b/>
          <w:bCs/>
          <w:iCs/>
          <w:color w:val="auto"/>
        </w:rPr>
        <w:t xml:space="preserve">P: </w:t>
      </w:r>
      <w:r w:rsidR="00632DCA" w:rsidRPr="00BF08D6">
        <w:rPr>
          <w:iCs/>
          <w:color w:val="auto"/>
        </w:rPr>
        <w:t>Unterscheidung zwischen Tun und Unterlassen</w:t>
      </w:r>
    </w:p>
    <w:p w14:paraId="55429562" w14:textId="75B3F78A" w:rsidR="00632DCA" w:rsidRDefault="0076532A" w:rsidP="00BF08D6">
      <w:pPr>
        <w:pStyle w:val="SchemaDefinitionenHeader"/>
        <w:ind w:left="2124"/>
        <w:rPr>
          <w:iCs/>
          <w:color w:val="auto"/>
        </w:rPr>
      </w:pPr>
      <w:r w:rsidRPr="00BF08D6">
        <w:rPr>
          <w:iCs/>
          <w:color w:val="auto"/>
        </w:rPr>
        <w:t xml:space="preserve">Manchmal ist es nicht ganz einfach zu bestimmen, ob ein Täter durch aktives Tun oder eben doch durch Unterlassen gehandelt hat. Liegt nämlich eine Tat durch Unterlassen vor, müssen im Tatbestand zusätzlich die Voraussetzungen von § 13 StGB geprüft werden. </w:t>
      </w:r>
      <w:r w:rsidR="0045225A" w:rsidRPr="00BF08D6">
        <w:rPr>
          <w:iCs/>
          <w:color w:val="auto"/>
        </w:rPr>
        <w:t>In diesen Fällen muss man sich fragen, ob der Schwerpunkt der Vorwerfbarkeit auf dem Tun oder dem Unterlassen liegt (</w:t>
      </w:r>
      <w:r w:rsidR="0075359D" w:rsidRPr="00BF08D6">
        <w:rPr>
          <w:bCs/>
          <w:color w:val="auto"/>
        </w:rPr>
        <w:t xml:space="preserve">Schönke/Schröder/Bosch, 30. Aufl. 2019, </w:t>
      </w:r>
      <w:proofErr w:type="gramStart"/>
      <w:r w:rsidR="0075359D" w:rsidRPr="00BF08D6">
        <w:rPr>
          <w:bCs/>
          <w:color w:val="auto"/>
        </w:rPr>
        <w:t>Vor</w:t>
      </w:r>
      <w:proofErr w:type="gramEnd"/>
      <w:r w:rsidR="0075359D" w:rsidRPr="00BF08D6">
        <w:rPr>
          <w:bCs/>
          <w:color w:val="auto"/>
        </w:rPr>
        <w:t xml:space="preserve"> §§ 13 ff. </w:t>
      </w:r>
      <w:proofErr w:type="spellStart"/>
      <w:r w:rsidR="0075359D" w:rsidRPr="00BF08D6">
        <w:rPr>
          <w:bCs/>
          <w:color w:val="auto"/>
        </w:rPr>
        <w:t>Rn</w:t>
      </w:r>
      <w:proofErr w:type="spellEnd"/>
      <w:r w:rsidR="0075359D" w:rsidRPr="00BF08D6">
        <w:rPr>
          <w:bCs/>
          <w:color w:val="auto"/>
        </w:rPr>
        <w:t>. 158a</w:t>
      </w:r>
      <w:r w:rsidR="0045225A" w:rsidRPr="00BF08D6">
        <w:rPr>
          <w:iCs/>
          <w:color w:val="auto"/>
        </w:rPr>
        <w:t xml:space="preserve">). Dies ist zweifelsfrei eine Wertungsfrage. </w:t>
      </w:r>
    </w:p>
    <w:p w14:paraId="142C685D" w14:textId="77777777" w:rsidR="00842D81" w:rsidRPr="00BF08D6" w:rsidRDefault="00842D81" w:rsidP="00BF08D6">
      <w:pPr>
        <w:pStyle w:val="SchemaDefinitionenHeader"/>
        <w:ind w:left="2124"/>
        <w:rPr>
          <w:iCs/>
          <w:color w:val="auto"/>
        </w:rPr>
      </w:pPr>
    </w:p>
    <w:p w14:paraId="799BF049" w14:textId="6EDAA6EC" w:rsidR="00794A74" w:rsidRPr="00BF08D6" w:rsidRDefault="00794A74" w:rsidP="00794A74">
      <w:pPr>
        <w:pStyle w:val="SchemaDefinitionenHeader"/>
        <w:ind w:left="1392"/>
        <w:rPr>
          <w:b/>
          <w:bCs/>
          <w:iCs/>
          <w:color w:val="auto"/>
        </w:rPr>
      </w:pPr>
      <w:r w:rsidRPr="00842D81">
        <w:rPr>
          <w:iCs/>
          <w:color w:val="auto"/>
        </w:rPr>
        <w:t>Zu</w:t>
      </w:r>
      <w:r w:rsidRPr="00BF08D6">
        <w:rPr>
          <w:b/>
          <w:bCs/>
          <w:iCs/>
          <w:color w:val="auto"/>
        </w:rPr>
        <w:t xml:space="preserve"> P: </w:t>
      </w:r>
      <w:r w:rsidRPr="00BF08D6">
        <w:rPr>
          <w:iCs/>
          <w:color w:val="auto"/>
        </w:rPr>
        <w:t>Unterlassen beim Abbruch von Rettungshandlungen</w:t>
      </w:r>
      <w:r w:rsidRPr="00BF08D6">
        <w:rPr>
          <w:b/>
          <w:bCs/>
          <w:iCs/>
          <w:color w:val="auto"/>
        </w:rPr>
        <w:t xml:space="preserve">: </w:t>
      </w:r>
    </w:p>
    <w:p w14:paraId="0402840A" w14:textId="3FDEF139" w:rsidR="00794A74" w:rsidRPr="00BF08D6" w:rsidRDefault="00794A74" w:rsidP="00AC506C">
      <w:pPr>
        <w:pStyle w:val="SchemaDefinitionenHeader"/>
        <w:ind w:left="2124"/>
        <w:rPr>
          <w:iCs/>
          <w:color w:val="auto"/>
        </w:rPr>
      </w:pPr>
      <w:r w:rsidRPr="00BF08D6">
        <w:rPr>
          <w:iCs/>
          <w:color w:val="auto"/>
        </w:rPr>
        <w:t>In Fällen, in denen der Täter eine bereits gestartete Rettungsaktion abbricht, kann es schwierig sein zu bestimmen, ob nun eine Tat durch aktives Tun oder durch Unterlassen vorliegt (dann müssten die zusätzlichen Voraussetzungen von § 13 StGB auch vorliegen). Nach der allgemeinen Regel, dass auf den Schwerpunkt der Vorwerfbarkeit abzustellen ist, ergibt sich daraus folgende Faustregel:</w:t>
      </w:r>
    </w:p>
    <w:p w14:paraId="66D8F690" w14:textId="77777777" w:rsidR="00EF408F" w:rsidRPr="00BF08D6" w:rsidRDefault="00EF408F" w:rsidP="00BF08D6">
      <w:pPr>
        <w:pStyle w:val="SchemaDefinitionenHeader"/>
        <w:ind w:left="2124"/>
        <w:rPr>
          <w:iCs/>
          <w:color w:val="auto"/>
        </w:rPr>
      </w:pPr>
    </w:p>
    <w:p w14:paraId="1533855F" w14:textId="19D181F5" w:rsidR="00794A74" w:rsidRPr="00842D81" w:rsidRDefault="00110F6B" w:rsidP="00BF08D6">
      <w:pPr>
        <w:pStyle w:val="SchemaDefinitionenHeader"/>
        <w:ind w:left="2124"/>
        <w:rPr>
          <w:i/>
          <w:color w:val="auto"/>
        </w:rPr>
      </w:pPr>
      <w:r w:rsidRPr="00842D81">
        <w:rPr>
          <w:i/>
          <w:color w:val="auto"/>
        </w:rPr>
        <w:t xml:space="preserve">1. </w:t>
      </w:r>
      <w:r w:rsidR="00794A74" w:rsidRPr="00842D81">
        <w:rPr>
          <w:i/>
          <w:color w:val="auto"/>
        </w:rPr>
        <w:t>Der Täter hat eigene Rettungsbemühungen vorgenommen:</w:t>
      </w:r>
    </w:p>
    <w:p w14:paraId="15BDF5C4" w14:textId="5CA92C38" w:rsidR="00794A74" w:rsidRPr="00BF08D6" w:rsidRDefault="00794A74" w:rsidP="00AC506C">
      <w:pPr>
        <w:pStyle w:val="SchemaDefinitionenHeader"/>
        <w:ind w:left="2124"/>
        <w:rPr>
          <w:iCs/>
          <w:color w:val="auto"/>
        </w:rPr>
      </w:pPr>
      <w:r w:rsidRPr="00BF08D6">
        <w:rPr>
          <w:iCs/>
          <w:color w:val="auto"/>
        </w:rPr>
        <w:t>Entscheidend ist, ob das Opfer schon eine gesicherte Position innehatte, die im Nachhinein wieder aktiv zerstört wurde (dann Handlung) oder gerade noch nicht (dann Unterlassen).</w:t>
      </w:r>
    </w:p>
    <w:p w14:paraId="61124160" w14:textId="77777777" w:rsidR="00EF408F" w:rsidRPr="00BF08D6" w:rsidRDefault="00EF408F" w:rsidP="00BF08D6">
      <w:pPr>
        <w:pStyle w:val="SchemaDefinitionenHeader"/>
        <w:ind w:left="2124"/>
        <w:rPr>
          <w:iCs/>
          <w:color w:val="auto"/>
        </w:rPr>
      </w:pPr>
    </w:p>
    <w:p w14:paraId="4A6A03E7" w14:textId="77777777" w:rsidR="00EF408F" w:rsidRPr="00BF08D6" w:rsidRDefault="00794A74" w:rsidP="00BF08D6">
      <w:pPr>
        <w:pStyle w:val="SchemaDefinitionenHeader"/>
        <w:ind w:left="2124" w:firstLine="708"/>
        <w:rPr>
          <w:i/>
          <w:color w:val="auto"/>
        </w:rPr>
      </w:pPr>
      <w:r w:rsidRPr="00BF08D6">
        <w:rPr>
          <w:i/>
          <w:color w:val="auto"/>
        </w:rPr>
        <w:t xml:space="preserve">Beispiel: </w:t>
      </w:r>
    </w:p>
    <w:p w14:paraId="338A2151" w14:textId="3510FDDB" w:rsidR="00794A74" w:rsidRPr="00BF08D6" w:rsidRDefault="00794A74" w:rsidP="00BF08D6">
      <w:pPr>
        <w:pStyle w:val="SchemaDefinitionenHeader"/>
        <w:ind w:left="2832"/>
        <w:rPr>
          <w:iCs/>
          <w:color w:val="auto"/>
        </w:rPr>
      </w:pPr>
      <w:r w:rsidRPr="00BF08D6">
        <w:rPr>
          <w:iCs/>
          <w:color w:val="auto"/>
        </w:rPr>
        <w:t>Der A wirft seinem ertrinkenden Sohn S einen Rettungsreifen zu. Bevor der S den Reifen ergreifen kann, zieht A den Rettungsreifen wieder zu sich. Hier lag noch keine gesicherte Position des S vor, daher liegt hier eine Täterschaft durch Unterlassen vor.</w:t>
      </w:r>
    </w:p>
    <w:p w14:paraId="67E77C7E" w14:textId="77777777" w:rsidR="00EF408F" w:rsidRPr="00BF08D6" w:rsidRDefault="00EF408F" w:rsidP="00BF08D6">
      <w:pPr>
        <w:pStyle w:val="SchemaDefinitionenHeader"/>
        <w:ind w:left="2124"/>
        <w:rPr>
          <w:iCs/>
          <w:color w:val="auto"/>
        </w:rPr>
      </w:pPr>
    </w:p>
    <w:p w14:paraId="552CF458" w14:textId="0A9D7074" w:rsidR="00794A74" w:rsidRPr="00842D81" w:rsidRDefault="00110F6B" w:rsidP="00BF08D6">
      <w:pPr>
        <w:pStyle w:val="SchemaDefinitionenHeader"/>
        <w:ind w:left="2124"/>
        <w:rPr>
          <w:i/>
          <w:color w:val="auto"/>
        </w:rPr>
      </w:pPr>
      <w:r w:rsidRPr="00842D81">
        <w:rPr>
          <w:i/>
          <w:color w:val="auto"/>
        </w:rPr>
        <w:t xml:space="preserve">2. </w:t>
      </w:r>
      <w:r w:rsidR="00794A74" w:rsidRPr="00842D81">
        <w:rPr>
          <w:i/>
          <w:color w:val="auto"/>
        </w:rPr>
        <w:t>Täter hat aktiv durch Täuschung oder Zwang andere Rettungswillige am Helfen gehindert:</w:t>
      </w:r>
    </w:p>
    <w:p w14:paraId="38A6BE98" w14:textId="5A0A3420" w:rsidR="00794A74" w:rsidRPr="00BF08D6" w:rsidRDefault="00110F6B" w:rsidP="00AC506C">
      <w:pPr>
        <w:pStyle w:val="SchemaDefinitionenHeader"/>
        <w:ind w:left="2124"/>
        <w:rPr>
          <w:iCs/>
          <w:color w:val="auto"/>
        </w:rPr>
      </w:pPr>
      <w:r w:rsidRPr="00BF08D6">
        <w:rPr>
          <w:iCs/>
          <w:color w:val="auto"/>
        </w:rPr>
        <w:t xml:space="preserve">In solchen Fällen ist der </w:t>
      </w:r>
      <w:r w:rsidR="00794A74" w:rsidRPr="00BF08D6">
        <w:rPr>
          <w:iCs/>
          <w:color w:val="auto"/>
        </w:rPr>
        <w:t>Täter Begehungstäter und kein Unterlassungstäter</w:t>
      </w:r>
      <w:r w:rsidRPr="00BF08D6">
        <w:rPr>
          <w:iCs/>
          <w:color w:val="auto"/>
        </w:rPr>
        <w:t>. Die zusätzlichen Voraussetzungen von § 13 StGB müssen also nicht vorliegen.</w:t>
      </w:r>
    </w:p>
    <w:p w14:paraId="547E929B" w14:textId="77777777" w:rsidR="00EF408F" w:rsidRPr="00BF08D6" w:rsidRDefault="00EF408F" w:rsidP="00BF08D6">
      <w:pPr>
        <w:pStyle w:val="SchemaDefinitionenHeader"/>
        <w:ind w:left="2124"/>
        <w:rPr>
          <w:iCs/>
          <w:color w:val="auto"/>
        </w:rPr>
      </w:pPr>
    </w:p>
    <w:p w14:paraId="04703058" w14:textId="77777777" w:rsidR="00EF408F" w:rsidRPr="00BF08D6" w:rsidRDefault="00794A74" w:rsidP="00BF08D6">
      <w:pPr>
        <w:pStyle w:val="SchemaDefinitionenHeader"/>
        <w:ind w:left="2124" w:firstLine="708"/>
        <w:rPr>
          <w:i/>
          <w:color w:val="auto"/>
        </w:rPr>
      </w:pPr>
      <w:r w:rsidRPr="00BF08D6">
        <w:rPr>
          <w:i/>
          <w:color w:val="auto"/>
        </w:rPr>
        <w:t xml:space="preserve">Beispiel: </w:t>
      </w:r>
    </w:p>
    <w:p w14:paraId="09B0F224" w14:textId="5B40435E" w:rsidR="00794A74" w:rsidRDefault="00BF08D6" w:rsidP="00842D81">
      <w:pPr>
        <w:pStyle w:val="SchemaDefinitionenHeader"/>
        <w:ind w:left="2832"/>
        <w:rPr>
          <w:iCs/>
          <w:color w:val="auto"/>
        </w:rPr>
      </w:pPr>
      <w:r w:rsidRPr="00BF08D6">
        <w:rPr>
          <w:iCs/>
          <w:color w:val="auto"/>
        </w:rPr>
        <w:t xml:space="preserve">S, der Sohn des A, </w:t>
      </w:r>
      <w:r w:rsidR="00794A74" w:rsidRPr="00BF08D6">
        <w:rPr>
          <w:iCs/>
          <w:color w:val="auto"/>
        </w:rPr>
        <w:t xml:space="preserve">liegt auf dem Boden und verblutet. Als C ihm zur Hilfe kommen will, reißt der A den C nieder und hält ihn fest. </w:t>
      </w:r>
      <w:r w:rsidR="00110F6B" w:rsidRPr="00BF08D6">
        <w:rPr>
          <w:iCs/>
          <w:color w:val="auto"/>
        </w:rPr>
        <w:t>Hier begeht A die Tat durch ein aktives Tun und nicht durch Unterlassen.</w:t>
      </w:r>
    </w:p>
    <w:p w14:paraId="4B656363" w14:textId="77777777" w:rsidR="00842D81" w:rsidRPr="00BF08D6" w:rsidRDefault="00842D81" w:rsidP="00842D81">
      <w:pPr>
        <w:pStyle w:val="SchemaDefinitionenHeader"/>
        <w:ind w:left="2832"/>
        <w:rPr>
          <w:iCs/>
          <w:color w:val="auto"/>
        </w:rPr>
      </w:pPr>
    </w:p>
    <w:p w14:paraId="6E5E08A1" w14:textId="1E411FA0" w:rsidR="00794A74" w:rsidRPr="00BF08D6" w:rsidRDefault="00EF408F" w:rsidP="00794A74">
      <w:pPr>
        <w:pStyle w:val="SchemaDefinitionenHeader"/>
        <w:ind w:left="1392"/>
        <w:rPr>
          <w:iCs/>
          <w:color w:val="auto"/>
        </w:rPr>
      </w:pPr>
      <w:r w:rsidRPr="00842D81">
        <w:rPr>
          <w:iCs/>
          <w:color w:val="auto"/>
        </w:rPr>
        <w:t>Zu</w:t>
      </w:r>
      <w:r w:rsidRPr="00BF08D6">
        <w:rPr>
          <w:b/>
          <w:bCs/>
          <w:iCs/>
          <w:color w:val="auto"/>
        </w:rPr>
        <w:t xml:space="preserve"> </w:t>
      </w:r>
      <w:r w:rsidR="00794A74" w:rsidRPr="00BF08D6">
        <w:rPr>
          <w:b/>
          <w:bCs/>
          <w:iCs/>
          <w:color w:val="auto"/>
        </w:rPr>
        <w:t>P:</w:t>
      </w:r>
      <w:r w:rsidR="00794A74" w:rsidRPr="00BF08D6">
        <w:rPr>
          <w:iCs/>
          <w:color w:val="auto"/>
        </w:rPr>
        <w:t xml:space="preserve"> </w:t>
      </w:r>
      <w:proofErr w:type="spellStart"/>
      <w:r w:rsidR="00794A74" w:rsidRPr="00BF08D6">
        <w:rPr>
          <w:iCs/>
          <w:color w:val="auto"/>
        </w:rPr>
        <w:t>omissio</w:t>
      </w:r>
      <w:proofErr w:type="spellEnd"/>
      <w:r w:rsidR="00794A74" w:rsidRPr="00BF08D6">
        <w:rPr>
          <w:iCs/>
          <w:color w:val="auto"/>
        </w:rPr>
        <w:t xml:space="preserve"> </w:t>
      </w:r>
      <w:proofErr w:type="spellStart"/>
      <w:r w:rsidR="00794A74" w:rsidRPr="00BF08D6">
        <w:rPr>
          <w:iCs/>
          <w:color w:val="auto"/>
        </w:rPr>
        <w:t>libera</w:t>
      </w:r>
      <w:proofErr w:type="spellEnd"/>
      <w:r w:rsidR="00794A74" w:rsidRPr="00BF08D6">
        <w:rPr>
          <w:iCs/>
          <w:color w:val="auto"/>
        </w:rPr>
        <w:t xml:space="preserve"> in causa (entsprechen den Problemen der </w:t>
      </w:r>
      <w:proofErr w:type="spellStart"/>
      <w:r w:rsidR="00794A74" w:rsidRPr="00BF08D6">
        <w:rPr>
          <w:iCs/>
          <w:color w:val="auto"/>
        </w:rPr>
        <w:t>actio</w:t>
      </w:r>
      <w:proofErr w:type="spellEnd"/>
      <w:r w:rsidR="00794A74" w:rsidRPr="00BF08D6">
        <w:rPr>
          <w:iCs/>
          <w:color w:val="auto"/>
        </w:rPr>
        <w:t xml:space="preserve"> </w:t>
      </w:r>
      <w:proofErr w:type="spellStart"/>
      <w:r w:rsidR="00794A74" w:rsidRPr="00BF08D6">
        <w:rPr>
          <w:iCs/>
          <w:color w:val="auto"/>
        </w:rPr>
        <w:t>libera</w:t>
      </w:r>
      <w:proofErr w:type="spellEnd"/>
      <w:r w:rsidR="00794A74" w:rsidRPr="00BF08D6">
        <w:rPr>
          <w:iCs/>
          <w:color w:val="auto"/>
        </w:rPr>
        <w:t xml:space="preserve"> in causa)</w:t>
      </w:r>
    </w:p>
    <w:p w14:paraId="436BCF74" w14:textId="77777777" w:rsidR="00EF408F" w:rsidRPr="00BF08D6" w:rsidRDefault="000E74C1" w:rsidP="00EF408F">
      <w:pPr>
        <w:pStyle w:val="SchemaDefinitionenHeader"/>
        <w:ind w:left="2124"/>
        <w:rPr>
          <w:iCs/>
          <w:color w:val="auto"/>
        </w:rPr>
      </w:pPr>
      <w:proofErr w:type="spellStart"/>
      <w:r w:rsidRPr="00BF08D6">
        <w:rPr>
          <w:i/>
          <w:color w:val="auto"/>
        </w:rPr>
        <w:t>Omissio</w:t>
      </w:r>
      <w:proofErr w:type="spellEnd"/>
      <w:r w:rsidRPr="00BF08D6">
        <w:rPr>
          <w:i/>
          <w:color w:val="auto"/>
        </w:rPr>
        <w:t xml:space="preserve"> </w:t>
      </w:r>
      <w:proofErr w:type="spellStart"/>
      <w:r w:rsidRPr="00BF08D6">
        <w:rPr>
          <w:i/>
          <w:color w:val="auto"/>
        </w:rPr>
        <w:t>libera</w:t>
      </w:r>
      <w:proofErr w:type="spellEnd"/>
      <w:r w:rsidRPr="00BF08D6">
        <w:rPr>
          <w:i/>
          <w:color w:val="auto"/>
        </w:rPr>
        <w:t xml:space="preserve"> in caus</w:t>
      </w:r>
      <w:r w:rsidR="00EF408F" w:rsidRPr="00BF08D6">
        <w:rPr>
          <w:i/>
          <w:color w:val="auto"/>
        </w:rPr>
        <w:t>a</w:t>
      </w:r>
      <w:r w:rsidRPr="00BF08D6">
        <w:rPr>
          <w:iCs/>
          <w:color w:val="auto"/>
        </w:rPr>
        <w:t xml:space="preserve"> beschreibt den Fall, wenn sich ein Garant absichtlich in einen Zustand versetzt, in dem er seiner Garantenpflicht nicht mehr nachkommen kann. </w:t>
      </w:r>
    </w:p>
    <w:p w14:paraId="2179BF4F" w14:textId="77777777" w:rsidR="00EF408F" w:rsidRPr="00BF08D6" w:rsidRDefault="00EF408F" w:rsidP="00EF408F">
      <w:pPr>
        <w:pStyle w:val="SchemaDefinitionenHeader"/>
        <w:ind w:left="2124"/>
        <w:rPr>
          <w:i/>
          <w:color w:val="auto"/>
        </w:rPr>
      </w:pPr>
    </w:p>
    <w:p w14:paraId="58DB6D70" w14:textId="38861773" w:rsidR="00EF408F" w:rsidRPr="00BF08D6" w:rsidRDefault="00EF408F" w:rsidP="00BF08D6">
      <w:pPr>
        <w:pStyle w:val="SchemaDefinitionenHeader"/>
        <w:ind w:left="2124" w:firstLine="708"/>
        <w:rPr>
          <w:i/>
          <w:color w:val="auto"/>
        </w:rPr>
      </w:pPr>
      <w:r w:rsidRPr="00BF08D6">
        <w:rPr>
          <w:i/>
          <w:color w:val="auto"/>
        </w:rPr>
        <w:t>Beispiel:</w:t>
      </w:r>
    </w:p>
    <w:p w14:paraId="67EF348A" w14:textId="6CFBBAC1" w:rsidR="000E74C1" w:rsidRPr="00BF08D6" w:rsidRDefault="00EF408F" w:rsidP="00BF08D6">
      <w:pPr>
        <w:pStyle w:val="SchemaDefinitionenHeader"/>
        <w:ind w:left="2832"/>
        <w:rPr>
          <w:iCs/>
          <w:color w:val="auto"/>
        </w:rPr>
      </w:pPr>
      <w:r w:rsidRPr="00BF08D6">
        <w:rPr>
          <w:iCs/>
          <w:color w:val="auto"/>
        </w:rPr>
        <w:t>Ein</w:t>
      </w:r>
      <w:r w:rsidR="000E74C1" w:rsidRPr="00BF08D6">
        <w:rPr>
          <w:iCs/>
          <w:color w:val="auto"/>
        </w:rPr>
        <w:t xml:space="preserve"> Bademeister, der sich absichtlich so stark betrinkt, dass er im Falle des Ertrinkens einer der Badegäste, diesen nicht mehr retten könnte. </w:t>
      </w:r>
    </w:p>
    <w:p w14:paraId="10388104" w14:textId="77777777" w:rsidR="00EF408F" w:rsidRPr="00BF08D6" w:rsidRDefault="00EF408F" w:rsidP="00BF08D6">
      <w:pPr>
        <w:pStyle w:val="SchemaDefinitionenHeader"/>
        <w:ind w:left="2124"/>
        <w:rPr>
          <w:iCs/>
          <w:color w:val="auto"/>
        </w:rPr>
      </w:pPr>
    </w:p>
    <w:p w14:paraId="3EE40EE9" w14:textId="5397EC4A" w:rsidR="000E74C1" w:rsidRPr="00BF08D6" w:rsidRDefault="000E74C1" w:rsidP="00BF08D6">
      <w:pPr>
        <w:pStyle w:val="SchemaDefinitionenHeader"/>
        <w:ind w:left="2124"/>
        <w:rPr>
          <w:iCs/>
          <w:color w:val="auto"/>
        </w:rPr>
      </w:pPr>
      <w:r w:rsidRPr="00BF08D6">
        <w:rPr>
          <w:iCs/>
          <w:color w:val="auto"/>
        </w:rPr>
        <w:t xml:space="preserve">Parallel zur </w:t>
      </w:r>
      <w:proofErr w:type="spellStart"/>
      <w:r w:rsidRPr="00BF08D6">
        <w:rPr>
          <w:iCs/>
          <w:color w:val="auto"/>
        </w:rPr>
        <w:t>actio</w:t>
      </w:r>
      <w:proofErr w:type="spellEnd"/>
      <w:r w:rsidRPr="00BF08D6">
        <w:rPr>
          <w:iCs/>
          <w:color w:val="auto"/>
        </w:rPr>
        <w:t xml:space="preserve"> </w:t>
      </w:r>
      <w:proofErr w:type="spellStart"/>
      <w:r w:rsidRPr="00BF08D6">
        <w:rPr>
          <w:iCs/>
          <w:color w:val="auto"/>
        </w:rPr>
        <w:t>libera</w:t>
      </w:r>
      <w:proofErr w:type="spellEnd"/>
      <w:r w:rsidRPr="00BF08D6">
        <w:rPr>
          <w:iCs/>
          <w:color w:val="auto"/>
        </w:rPr>
        <w:t xml:space="preserve"> in causa bei aktiven Begehungsdelikten nimmt die </w:t>
      </w:r>
      <w:proofErr w:type="spellStart"/>
      <w:r w:rsidRPr="00BF08D6">
        <w:rPr>
          <w:iCs/>
          <w:color w:val="auto"/>
        </w:rPr>
        <w:t>h.M</w:t>
      </w:r>
      <w:proofErr w:type="spellEnd"/>
      <w:r w:rsidRPr="00BF08D6">
        <w:rPr>
          <w:iCs/>
          <w:color w:val="auto"/>
        </w:rPr>
        <w:t>. in solchen Fällen eine Täterschaft durch Unterlassen an (</w:t>
      </w:r>
      <w:r w:rsidR="00747E5B" w:rsidRPr="00BF08D6">
        <w:rPr>
          <w:bCs/>
          <w:color w:val="auto"/>
        </w:rPr>
        <w:t xml:space="preserve">Schönke/Schröder/Bosch, 30. Aufl. 2019, </w:t>
      </w:r>
      <w:proofErr w:type="gramStart"/>
      <w:r w:rsidR="00747E5B" w:rsidRPr="00BF08D6">
        <w:rPr>
          <w:bCs/>
          <w:color w:val="auto"/>
        </w:rPr>
        <w:t>Vor</w:t>
      </w:r>
      <w:proofErr w:type="gramEnd"/>
      <w:r w:rsidR="00747E5B" w:rsidRPr="00BF08D6">
        <w:rPr>
          <w:bCs/>
          <w:color w:val="auto"/>
        </w:rPr>
        <w:t xml:space="preserve"> §§ 13 ff. </w:t>
      </w:r>
      <w:proofErr w:type="spellStart"/>
      <w:r w:rsidR="00747E5B" w:rsidRPr="00BF08D6">
        <w:rPr>
          <w:bCs/>
          <w:color w:val="auto"/>
        </w:rPr>
        <w:t>Rn</w:t>
      </w:r>
      <w:proofErr w:type="spellEnd"/>
      <w:r w:rsidR="00747E5B" w:rsidRPr="00BF08D6">
        <w:rPr>
          <w:bCs/>
          <w:color w:val="auto"/>
        </w:rPr>
        <w:t>. 144</w:t>
      </w:r>
      <w:r w:rsidRPr="00BF08D6">
        <w:rPr>
          <w:iCs/>
          <w:color w:val="auto"/>
        </w:rPr>
        <w:t>). Es müssen also die zusätzlichen Voraussetzungen von § 13 StGB vorliegen.</w:t>
      </w:r>
    </w:p>
    <w:p w14:paraId="1477275E" w14:textId="22141E90" w:rsidR="00635A21" w:rsidRPr="00842D81" w:rsidRDefault="00635A21">
      <w:pPr>
        <w:rPr>
          <w:rFonts w:ascii="Open Sans" w:hAnsi="Open Sans" w:cs="Open Sans"/>
          <w:iCs/>
        </w:rPr>
      </w:pPr>
      <w:bookmarkStart w:id="7" w:name="_Hlk65073695"/>
      <w:bookmarkStart w:id="8" w:name="Quasi_Kausalität"/>
    </w:p>
    <w:p w14:paraId="0EFC49E7" w14:textId="200C5720" w:rsidR="004770EF" w:rsidRPr="00BF08D6" w:rsidRDefault="004770EF" w:rsidP="008D6EEB">
      <w:pPr>
        <w:pStyle w:val="SchemaDefinitionenHeader"/>
        <w:numPr>
          <w:ilvl w:val="1"/>
          <w:numId w:val="29"/>
        </w:numPr>
        <w:ind w:left="1044"/>
        <w:rPr>
          <w:i/>
          <w:iCs/>
          <w:color w:val="auto"/>
        </w:rPr>
      </w:pPr>
      <w:r w:rsidRPr="00BF08D6">
        <w:rPr>
          <w:i/>
          <w:iCs/>
          <w:color w:val="auto"/>
        </w:rPr>
        <w:t xml:space="preserve">Quasi-Kausalität / </w:t>
      </w:r>
      <w:r w:rsidRPr="00BF08D6">
        <w:rPr>
          <w:bCs/>
          <w:i/>
          <w:iCs/>
          <w:color w:val="auto"/>
        </w:rPr>
        <w:t>umgedrehte conditio-sine-qua-non-Formel</w:t>
      </w:r>
    </w:p>
    <w:p w14:paraId="7FABD903" w14:textId="015B6334" w:rsidR="004770EF" w:rsidRPr="00BF08D6" w:rsidRDefault="008108F7" w:rsidP="004770EF">
      <w:pPr>
        <w:pStyle w:val="Listenabsatz"/>
        <w:ind w:left="1044"/>
        <w:jc w:val="both"/>
        <w:rPr>
          <w:rFonts w:ascii="Open Sans" w:hAnsi="Open Sans" w:cs="Open Sans"/>
          <w:bCs/>
        </w:rPr>
      </w:pPr>
      <w:bookmarkStart w:id="9" w:name="_Hlk109037050"/>
      <w:bookmarkEnd w:id="7"/>
      <w:bookmarkEnd w:id="8"/>
      <w:r w:rsidRPr="00BF08D6">
        <w:rPr>
          <w:rFonts w:ascii="Open Sans" w:hAnsi="Open Sans" w:cs="Open Sans"/>
          <w:bCs/>
        </w:rPr>
        <w:t xml:space="preserve">Nach der </w:t>
      </w:r>
      <w:r w:rsidR="00164564" w:rsidRPr="00BF08D6">
        <w:rPr>
          <w:rFonts w:ascii="Open Sans" w:hAnsi="Open Sans" w:cs="Open Sans"/>
          <w:bCs/>
        </w:rPr>
        <w:t xml:space="preserve">klassischen </w:t>
      </w:r>
      <w:r w:rsidR="00B8537D" w:rsidRPr="00BF08D6">
        <w:rPr>
          <w:rFonts w:ascii="Open Sans" w:hAnsi="Open Sans" w:cs="Open Sans"/>
          <w:bCs/>
        </w:rPr>
        <w:t xml:space="preserve">– hier nicht anzuwendenden – </w:t>
      </w:r>
      <w:r w:rsidR="00164564" w:rsidRPr="00BF08D6">
        <w:rPr>
          <w:rFonts w:ascii="Open Sans" w:hAnsi="Open Sans" w:cs="Open Sans"/>
          <w:bCs/>
          <w:i/>
        </w:rPr>
        <w:t>Äquivalenztheorie</w:t>
      </w:r>
      <w:r w:rsidR="00164564" w:rsidRPr="00BF08D6">
        <w:rPr>
          <w:rFonts w:ascii="Open Sans" w:hAnsi="Open Sans" w:cs="Open Sans"/>
          <w:bCs/>
        </w:rPr>
        <w:t xml:space="preserve"> </w:t>
      </w:r>
      <w:r w:rsidR="00971E5D" w:rsidRPr="00BF08D6">
        <w:rPr>
          <w:rFonts w:ascii="Open Sans" w:hAnsi="Open Sans" w:cs="Open Sans"/>
          <w:bCs/>
        </w:rPr>
        <w:t xml:space="preserve">ist eine </w:t>
      </w:r>
      <w:r w:rsidR="004770EF" w:rsidRPr="00BF08D6">
        <w:rPr>
          <w:rFonts w:ascii="Open Sans" w:hAnsi="Open Sans" w:cs="Open Sans"/>
          <w:bCs/>
        </w:rPr>
        <w:t>Handlung dann kausal für den eingetretenen Erfolg, wenn sie nicht hinweggedacht werden kann, ohne dass der Erfolg in seiner konkreten Art und Weise entfiele</w:t>
      </w:r>
      <w:r w:rsidR="00164564" w:rsidRPr="00BF08D6">
        <w:rPr>
          <w:rFonts w:ascii="Open Sans" w:hAnsi="Open Sans" w:cs="Open Sans"/>
          <w:bCs/>
        </w:rPr>
        <w:t xml:space="preserve"> (conditio-sine-qua-non-Formel)</w:t>
      </w:r>
      <w:r w:rsidR="004770EF" w:rsidRPr="00BF08D6">
        <w:rPr>
          <w:rFonts w:ascii="Open Sans" w:hAnsi="Open Sans" w:cs="Open Sans"/>
          <w:bCs/>
        </w:rPr>
        <w:t xml:space="preserve">. </w:t>
      </w:r>
      <w:bookmarkEnd w:id="9"/>
      <w:r w:rsidR="00971E5D" w:rsidRPr="00BF08D6">
        <w:rPr>
          <w:rFonts w:ascii="Open Sans" w:hAnsi="Open Sans" w:cs="Open Sans"/>
          <w:bCs/>
        </w:rPr>
        <w:t>Gegenfrage</w:t>
      </w:r>
      <w:r w:rsidR="004770EF" w:rsidRPr="00BF08D6">
        <w:rPr>
          <w:rFonts w:ascii="Open Sans" w:hAnsi="Open Sans" w:cs="Open Sans"/>
          <w:bCs/>
        </w:rPr>
        <w:t>: Wenn Handlung XY weggedacht wird, entfällt dann gleichzeitig auch der Erfolg in seiner konkreten Gestalt? Wenn dem so ist, dann ist die Handlung XY dem Täter objektiv zurechenbar, sein Handeln ist kausal für den eingetretenen Erfolg.</w:t>
      </w:r>
    </w:p>
    <w:p w14:paraId="1697037A" w14:textId="7986ABDB" w:rsidR="00BD4234" w:rsidRPr="00BF08D6" w:rsidRDefault="004770EF" w:rsidP="004770EF">
      <w:pPr>
        <w:pStyle w:val="Listenabsatz"/>
        <w:ind w:left="1044"/>
        <w:jc w:val="both"/>
        <w:rPr>
          <w:rFonts w:ascii="Open Sans" w:hAnsi="Open Sans" w:cs="Open Sans"/>
          <w:bCs/>
        </w:rPr>
      </w:pPr>
      <w:r w:rsidRPr="00BF08D6">
        <w:rPr>
          <w:rFonts w:ascii="Open Sans" w:hAnsi="Open Sans" w:cs="Open Sans"/>
          <w:bCs/>
        </w:rPr>
        <w:t>Diese Formel passt im Rahmen eines unechten Unterlassungsdelikts aber nicht so recht</w:t>
      </w:r>
      <w:r w:rsidR="00BD4234" w:rsidRPr="00BF08D6">
        <w:rPr>
          <w:rFonts w:ascii="Open Sans" w:hAnsi="Open Sans" w:cs="Open Sans"/>
          <w:bCs/>
        </w:rPr>
        <w:t xml:space="preserve">. </w:t>
      </w:r>
      <w:r w:rsidR="008E0538" w:rsidRPr="00BF08D6">
        <w:rPr>
          <w:rFonts w:ascii="Open Sans" w:hAnsi="Open Sans" w:cs="Open Sans"/>
          <w:bCs/>
        </w:rPr>
        <w:t>Sie kann nicht eins zu eins kopiert werden</w:t>
      </w:r>
      <w:r w:rsidR="00BD4234" w:rsidRPr="00BF08D6">
        <w:rPr>
          <w:rFonts w:ascii="Open Sans" w:hAnsi="Open Sans" w:cs="Open Sans"/>
          <w:bCs/>
        </w:rPr>
        <w:t xml:space="preserve">. Vielmehr ist </w:t>
      </w:r>
      <w:bookmarkStart w:id="10" w:name="_Hlk109069795"/>
      <w:r w:rsidR="00BD4234" w:rsidRPr="00BF08D6">
        <w:rPr>
          <w:rFonts w:ascii="Open Sans" w:hAnsi="Open Sans" w:cs="Open Sans"/>
          <w:bCs/>
        </w:rPr>
        <w:t xml:space="preserve">ein Unterlassen dann kausal für den Erfolg, wenn die </w:t>
      </w:r>
      <w:r w:rsidR="00BD4234" w:rsidRPr="00BF08D6">
        <w:rPr>
          <w:rFonts w:ascii="Open Sans" w:hAnsi="Open Sans" w:cs="Open Sans"/>
          <w:bCs/>
          <w:i/>
        </w:rPr>
        <w:t>rechtlich gebotene Handlung nicht hinzugedacht</w:t>
      </w:r>
      <w:r w:rsidR="00BD4234" w:rsidRPr="00BF08D6">
        <w:rPr>
          <w:rFonts w:ascii="Open Sans" w:hAnsi="Open Sans" w:cs="Open Sans"/>
          <w:bCs/>
        </w:rPr>
        <w:t xml:space="preserve"> werden kann, ohne, dass der tatbestandsmäßige (konkrete) </w:t>
      </w:r>
      <w:r w:rsidR="00BD4234" w:rsidRPr="00BF08D6">
        <w:rPr>
          <w:rFonts w:ascii="Open Sans" w:hAnsi="Open Sans" w:cs="Open Sans"/>
          <w:bCs/>
        </w:rPr>
        <w:lastRenderedPageBreak/>
        <w:t>Erfolg entfiele (</w:t>
      </w:r>
      <w:r w:rsidR="00BD4234" w:rsidRPr="00BF08D6">
        <w:rPr>
          <w:rFonts w:ascii="Open Sans" w:hAnsi="Open Sans" w:cs="Open Sans"/>
          <w:bCs/>
          <w:i/>
          <w:iCs/>
        </w:rPr>
        <w:t>hypothetische Kausalität/Quasikausalität</w:t>
      </w:r>
      <w:r w:rsidR="00BD4234" w:rsidRPr="00BF08D6">
        <w:rPr>
          <w:rFonts w:ascii="Open Sans" w:hAnsi="Open Sans" w:cs="Open Sans"/>
          <w:bCs/>
        </w:rPr>
        <w:t>). Die sine-qua-non-Formel wird also umgedreht.</w:t>
      </w:r>
    </w:p>
    <w:p w14:paraId="7EB14DD5" w14:textId="214607F4" w:rsidR="004770EF" w:rsidRPr="00BF08D6" w:rsidRDefault="00971E5D" w:rsidP="004770EF">
      <w:pPr>
        <w:pStyle w:val="Listenabsatz"/>
        <w:ind w:left="1044"/>
        <w:jc w:val="both"/>
        <w:rPr>
          <w:rFonts w:ascii="Open Sans" w:hAnsi="Open Sans" w:cs="Open Sans"/>
          <w:bCs/>
        </w:rPr>
      </w:pPr>
      <w:r w:rsidRPr="00BF08D6">
        <w:rPr>
          <w:rFonts w:ascii="Open Sans" w:hAnsi="Open Sans" w:cs="Open Sans"/>
          <w:bCs/>
        </w:rPr>
        <w:t>Die Gegenfrage lautet daher hier</w:t>
      </w:r>
      <w:r w:rsidR="004770EF" w:rsidRPr="00BF08D6">
        <w:rPr>
          <w:rFonts w:ascii="Open Sans" w:hAnsi="Open Sans" w:cs="Open Sans"/>
          <w:bCs/>
        </w:rPr>
        <w:t>: Wäre der Erfolg auch eingetreten, wenn die gebotene Handlung vorgenommen worden wäre?</w:t>
      </w:r>
      <w:r w:rsidR="006B1120" w:rsidRPr="00BF08D6">
        <w:rPr>
          <w:rFonts w:ascii="Open Sans" w:hAnsi="Open Sans" w:cs="Open Sans"/>
          <w:bCs/>
        </w:rPr>
        <w:t xml:space="preserve"> </w:t>
      </w:r>
      <w:bookmarkEnd w:id="10"/>
      <w:r w:rsidR="006B1120" w:rsidRPr="00BF08D6">
        <w:rPr>
          <w:rFonts w:ascii="Open Sans" w:hAnsi="Open Sans" w:cs="Open Sans"/>
          <w:bCs/>
        </w:rPr>
        <w:t xml:space="preserve">(Schönke/Schröder/Bosch, 30. Aufl. 2019, StGB § 13 </w:t>
      </w:r>
      <w:proofErr w:type="spellStart"/>
      <w:r w:rsidR="006B1120" w:rsidRPr="00BF08D6">
        <w:rPr>
          <w:rFonts w:ascii="Open Sans" w:hAnsi="Open Sans" w:cs="Open Sans"/>
          <w:bCs/>
        </w:rPr>
        <w:t>Rn</w:t>
      </w:r>
      <w:proofErr w:type="spellEnd"/>
      <w:r w:rsidR="006B1120" w:rsidRPr="00BF08D6">
        <w:rPr>
          <w:rFonts w:ascii="Open Sans" w:hAnsi="Open Sans" w:cs="Open Sans"/>
          <w:bCs/>
        </w:rPr>
        <w:t>. 61)</w:t>
      </w:r>
    </w:p>
    <w:p w14:paraId="7962783F" w14:textId="77777777" w:rsidR="008D6EEB" w:rsidRPr="00BF08D6" w:rsidRDefault="008D6EEB" w:rsidP="004770EF">
      <w:pPr>
        <w:pStyle w:val="Listenabsatz"/>
        <w:ind w:left="1044"/>
        <w:jc w:val="both"/>
        <w:rPr>
          <w:rFonts w:ascii="Open Sans" w:hAnsi="Open Sans" w:cs="Open Sans"/>
          <w:bCs/>
        </w:rPr>
      </w:pPr>
    </w:p>
    <w:p w14:paraId="7303ED6C" w14:textId="77777777" w:rsidR="004770EF" w:rsidRPr="00BF08D6" w:rsidRDefault="004770EF" w:rsidP="008D6EEB">
      <w:pPr>
        <w:pStyle w:val="SchemaDefinitionenHeader"/>
        <w:numPr>
          <w:ilvl w:val="1"/>
          <w:numId w:val="29"/>
        </w:numPr>
        <w:ind w:left="1044"/>
        <w:rPr>
          <w:i/>
          <w:iCs/>
          <w:color w:val="auto"/>
        </w:rPr>
      </w:pPr>
      <w:bookmarkStart w:id="11" w:name="Garantenstellung"/>
      <w:r w:rsidRPr="00BF08D6">
        <w:rPr>
          <w:i/>
          <w:iCs/>
          <w:color w:val="auto"/>
        </w:rPr>
        <w:t>Garantenstellung</w:t>
      </w:r>
    </w:p>
    <w:p w14:paraId="78B82A9D" w14:textId="2D2F536F" w:rsidR="004770EF" w:rsidRPr="00BF08D6" w:rsidRDefault="004770EF" w:rsidP="004770EF">
      <w:pPr>
        <w:ind w:left="1044"/>
        <w:jc w:val="both"/>
        <w:rPr>
          <w:rFonts w:ascii="Open Sans" w:hAnsi="Open Sans" w:cs="Open Sans"/>
          <w:bCs/>
        </w:rPr>
      </w:pPr>
      <w:bookmarkStart w:id="12" w:name="_Hlk65073678"/>
      <w:bookmarkEnd w:id="11"/>
      <w:r w:rsidRPr="00BF08D6">
        <w:rPr>
          <w:rFonts w:ascii="Open Sans" w:hAnsi="Open Sans" w:cs="Open Sans"/>
          <w:bCs/>
        </w:rPr>
        <w:t xml:space="preserve">Ein </w:t>
      </w:r>
      <w:r w:rsidRPr="00BF08D6">
        <w:rPr>
          <w:rFonts w:ascii="Open Sans" w:hAnsi="Open Sans" w:cs="Open Sans"/>
          <w:bCs/>
          <w:i/>
        </w:rPr>
        <w:t>Garant</w:t>
      </w:r>
      <w:r w:rsidRPr="00BF08D6">
        <w:rPr>
          <w:rFonts w:ascii="Open Sans" w:hAnsi="Open Sans" w:cs="Open Sans"/>
          <w:bCs/>
        </w:rPr>
        <w:t xml:space="preserve"> hat rechtlich dafür einzustehen, dass ein Erfolg nicht eintritt. </w:t>
      </w:r>
      <w:r w:rsidR="0035216B" w:rsidRPr="00BF08D6">
        <w:rPr>
          <w:rFonts w:ascii="Open Sans" w:hAnsi="Open Sans" w:cs="Open Sans"/>
          <w:bCs/>
        </w:rPr>
        <w:t xml:space="preserve">Die Erforderlichkeit der Garantenstellung bei unechten Unterlassungsdelikten ergibt sich aus dem Wortlaut von § 13 StGB („rechtlich dafür einzustehen hat, dass der Erfolg nicht eintritt“). </w:t>
      </w:r>
      <w:r w:rsidRPr="00BF08D6">
        <w:rPr>
          <w:rFonts w:ascii="Open Sans" w:hAnsi="Open Sans" w:cs="Open Sans"/>
          <w:bCs/>
        </w:rPr>
        <w:t>Garantenstellungen ergeben sich u.a. in folgenden Fällen.</w:t>
      </w:r>
    </w:p>
    <w:p w14:paraId="4C47B5E8" w14:textId="77777777" w:rsidR="004770EF" w:rsidRPr="00BF08D6" w:rsidRDefault="004770EF" w:rsidP="004770EF">
      <w:pPr>
        <w:ind w:left="1044"/>
        <w:jc w:val="both"/>
        <w:rPr>
          <w:rFonts w:ascii="Open Sans" w:hAnsi="Open Sans" w:cs="Open Sans"/>
          <w:bCs/>
        </w:rPr>
      </w:pPr>
    </w:p>
    <w:p w14:paraId="761A5C45" w14:textId="77777777" w:rsidR="004770EF" w:rsidRPr="00842D81" w:rsidRDefault="004770EF" w:rsidP="004770EF">
      <w:pPr>
        <w:ind w:left="1044"/>
        <w:jc w:val="both"/>
        <w:rPr>
          <w:rFonts w:ascii="Open Sans" w:hAnsi="Open Sans" w:cs="Open Sans"/>
          <w:bCs/>
          <w:i/>
          <w:iCs/>
        </w:rPr>
      </w:pPr>
      <w:r w:rsidRPr="00842D81">
        <w:rPr>
          <w:rFonts w:ascii="Open Sans" w:hAnsi="Open Sans" w:cs="Open Sans"/>
          <w:bCs/>
          <w:i/>
          <w:iCs/>
        </w:rPr>
        <w:t>Beschützergarant:</w:t>
      </w:r>
    </w:p>
    <w:p w14:paraId="24EECFA9" w14:textId="77777777" w:rsidR="00971E5D" w:rsidRPr="00BF08D6" w:rsidRDefault="00971E5D" w:rsidP="00971E5D">
      <w:pPr>
        <w:pStyle w:val="Listenabsatz"/>
        <w:numPr>
          <w:ilvl w:val="0"/>
          <w:numId w:val="26"/>
        </w:numPr>
        <w:jc w:val="both"/>
        <w:rPr>
          <w:rFonts w:ascii="Open Sans" w:hAnsi="Open Sans" w:cs="Open Sans"/>
          <w:bCs/>
        </w:rPr>
      </w:pPr>
      <w:r w:rsidRPr="00BF08D6">
        <w:rPr>
          <w:rFonts w:ascii="Open Sans" w:hAnsi="Open Sans" w:cs="Open Sans"/>
          <w:bCs/>
        </w:rPr>
        <w:t>Gesetz,</w:t>
      </w:r>
    </w:p>
    <w:p w14:paraId="6C52BED8" w14:textId="77777777" w:rsidR="004770EF" w:rsidRPr="00BF08D6" w:rsidRDefault="004770EF" w:rsidP="004770EF">
      <w:pPr>
        <w:pStyle w:val="Listenabsatz"/>
        <w:numPr>
          <w:ilvl w:val="0"/>
          <w:numId w:val="26"/>
        </w:numPr>
        <w:jc w:val="both"/>
        <w:rPr>
          <w:rFonts w:ascii="Open Sans" w:hAnsi="Open Sans" w:cs="Open Sans"/>
          <w:bCs/>
        </w:rPr>
      </w:pPr>
      <w:r w:rsidRPr="00BF08D6">
        <w:rPr>
          <w:rFonts w:ascii="Open Sans" w:hAnsi="Open Sans" w:cs="Open Sans"/>
          <w:bCs/>
        </w:rPr>
        <w:t>enger persönlicher Verbundenheit (z.B. Familienangehörige, Ehegatten),</w:t>
      </w:r>
    </w:p>
    <w:p w14:paraId="3D70675E" w14:textId="4C7D6A2B" w:rsidR="004770EF" w:rsidRPr="00BF08D6" w:rsidRDefault="004770EF" w:rsidP="004770EF">
      <w:pPr>
        <w:pStyle w:val="Listenabsatz"/>
        <w:numPr>
          <w:ilvl w:val="0"/>
          <w:numId w:val="26"/>
        </w:numPr>
        <w:jc w:val="both"/>
        <w:rPr>
          <w:rFonts w:ascii="Open Sans" w:hAnsi="Open Sans" w:cs="Open Sans"/>
          <w:bCs/>
        </w:rPr>
      </w:pPr>
      <w:r w:rsidRPr="00BF08D6">
        <w:rPr>
          <w:rFonts w:ascii="Open Sans" w:hAnsi="Open Sans" w:cs="Open Sans"/>
          <w:bCs/>
        </w:rPr>
        <w:t>Pflicht kraft tatsächlicher Übernahme</w:t>
      </w:r>
      <w:r w:rsidR="00971E5D" w:rsidRPr="00BF08D6">
        <w:rPr>
          <w:rFonts w:ascii="Open Sans" w:hAnsi="Open Sans" w:cs="Open Sans"/>
          <w:bCs/>
        </w:rPr>
        <w:t>,</w:t>
      </w:r>
    </w:p>
    <w:p w14:paraId="07A457DC" w14:textId="6671B9CC" w:rsidR="004770EF" w:rsidRPr="00BF08D6" w:rsidRDefault="004770EF" w:rsidP="004770EF">
      <w:pPr>
        <w:pStyle w:val="Listenabsatz"/>
        <w:numPr>
          <w:ilvl w:val="0"/>
          <w:numId w:val="26"/>
        </w:numPr>
        <w:jc w:val="both"/>
        <w:rPr>
          <w:rFonts w:ascii="Open Sans" w:hAnsi="Open Sans" w:cs="Open Sans"/>
          <w:bCs/>
        </w:rPr>
      </w:pPr>
      <w:r w:rsidRPr="00BF08D6">
        <w:rPr>
          <w:rFonts w:ascii="Open Sans" w:hAnsi="Open Sans" w:cs="Open Sans"/>
          <w:bCs/>
        </w:rPr>
        <w:t>Pflicht kraft vertraglicher Übernahme (z.B. Babysitter, Leibwächte</w:t>
      </w:r>
      <w:r w:rsidR="00752EEA">
        <w:rPr>
          <w:rFonts w:ascii="Open Sans" w:hAnsi="Open Sans" w:cs="Open Sans"/>
          <w:bCs/>
        </w:rPr>
        <w:t>r</w:t>
      </w:r>
      <w:r w:rsidRPr="00BF08D6">
        <w:rPr>
          <w:rFonts w:ascii="Open Sans" w:hAnsi="Open Sans" w:cs="Open Sans"/>
          <w:bCs/>
        </w:rPr>
        <w:t>).</w:t>
      </w:r>
    </w:p>
    <w:p w14:paraId="46CB4426" w14:textId="77777777" w:rsidR="004770EF" w:rsidRPr="00BF08D6" w:rsidRDefault="004770EF" w:rsidP="004770EF">
      <w:pPr>
        <w:ind w:left="2130"/>
        <w:jc w:val="both"/>
        <w:rPr>
          <w:rFonts w:ascii="Open Sans" w:hAnsi="Open Sans" w:cs="Open Sans"/>
          <w:bCs/>
        </w:rPr>
      </w:pPr>
    </w:p>
    <w:p w14:paraId="7F024C9A" w14:textId="77777777" w:rsidR="004770EF" w:rsidRPr="00842D81" w:rsidRDefault="004770EF" w:rsidP="004770EF">
      <w:pPr>
        <w:ind w:left="1044"/>
        <w:jc w:val="both"/>
        <w:rPr>
          <w:rFonts w:ascii="Open Sans" w:hAnsi="Open Sans" w:cs="Open Sans"/>
          <w:bCs/>
          <w:i/>
          <w:iCs/>
        </w:rPr>
      </w:pPr>
      <w:r w:rsidRPr="00842D81">
        <w:rPr>
          <w:rFonts w:ascii="Open Sans" w:hAnsi="Open Sans" w:cs="Open Sans"/>
          <w:bCs/>
          <w:i/>
          <w:iCs/>
        </w:rPr>
        <w:t>Überwachungsgarant:</w:t>
      </w:r>
    </w:p>
    <w:p w14:paraId="1641B83E" w14:textId="77777777" w:rsidR="004770EF" w:rsidRPr="00BF08D6" w:rsidRDefault="004770EF" w:rsidP="004770EF">
      <w:pPr>
        <w:pStyle w:val="Listenabsatz"/>
        <w:numPr>
          <w:ilvl w:val="0"/>
          <w:numId w:val="26"/>
        </w:numPr>
        <w:jc w:val="both"/>
        <w:rPr>
          <w:rFonts w:ascii="Open Sans" w:hAnsi="Open Sans" w:cs="Open Sans"/>
          <w:bCs/>
        </w:rPr>
      </w:pPr>
      <w:r w:rsidRPr="00BF08D6">
        <w:rPr>
          <w:rFonts w:ascii="Open Sans" w:hAnsi="Open Sans" w:cs="Open Sans"/>
          <w:bCs/>
        </w:rPr>
        <w:t>Gesetz,</w:t>
      </w:r>
    </w:p>
    <w:p w14:paraId="7245E595" w14:textId="77777777" w:rsidR="004770EF" w:rsidRPr="00BF08D6" w:rsidRDefault="004770EF" w:rsidP="004770EF">
      <w:pPr>
        <w:pStyle w:val="Listenabsatz"/>
        <w:numPr>
          <w:ilvl w:val="0"/>
          <w:numId w:val="26"/>
        </w:numPr>
        <w:jc w:val="both"/>
        <w:rPr>
          <w:rFonts w:ascii="Open Sans" w:hAnsi="Open Sans" w:cs="Open Sans"/>
          <w:bCs/>
        </w:rPr>
      </w:pPr>
      <w:r w:rsidRPr="00BF08D6">
        <w:rPr>
          <w:rFonts w:ascii="Open Sans" w:hAnsi="Open Sans" w:cs="Open Sans"/>
          <w:bCs/>
        </w:rPr>
        <w:t xml:space="preserve">Gefahrengemeinschaften, die ihrem Wesen nach auf gegenseitige Hilfe angelegt ist (z.B. Bergbesteigung, Wildwasserfahrten), </w:t>
      </w:r>
    </w:p>
    <w:p w14:paraId="60DD9C48" w14:textId="7658EA93" w:rsidR="004770EF" w:rsidRDefault="004770EF" w:rsidP="00B8537D">
      <w:pPr>
        <w:pStyle w:val="Listenabsatz"/>
        <w:numPr>
          <w:ilvl w:val="0"/>
          <w:numId w:val="26"/>
        </w:numPr>
        <w:jc w:val="both"/>
        <w:rPr>
          <w:rFonts w:ascii="Open Sans" w:hAnsi="Open Sans" w:cs="Open Sans"/>
          <w:bCs/>
        </w:rPr>
      </w:pPr>
      <w:r w:rsidRPr="00BF08D6">
        <w:rPr>
          <w:rFonts w:ascii="Open Sans" w:hAnsi="Open Sans" w:cs="Open Sans"/>
          <w:bCs/>
        </w:rPr>
        <w:t>Ingerenz (d.h. derjenige, der durch sein Handeln oder garantenpflichtiges Unterlassen eine Gefahr für den Eintritt schädlicher Erfolge geschaffen hat, ist verpflichtet, drohende Schäden zu verhindern).</w:t>
      </w:r>
      <w:bookmarkEnd w:id="12"/>
    </w:p>
    <w:p w14:paraId="4C2BF573" w14:textId="77777777" w:rsidR="00842D81" w:rsidRPr="00BF08D6" w:rsidRDefault="00842D81" w:rsidP="00842D81">
      <w:pPr>
        <w:pStyle w:val="Listenabsatz"/>
        <w:ind w:left="2490"/>
        <w:jc w:val="both"/>
        <w:rPr>
          <w:rFonts w:ascii="Open Sans" w:hAnsi="Open Sans" w:cs="Open Sans"/>
          <w:bCs/>
        </w:rPr>
      </w:pPr>
    </w:p>
    <w:p w14:paraId="2D40112A" w14:textId="4D7413EB" w:rsidR="00631B49" w:rsidRPr="00BF08D6" w:rsidRDefault="007166C3" w:rsidP="00631B49">
      <w:pPr>
        <w:pStyle w:val="SchemaDefinitionenHeader"/>
        <w:ind w:left="1416"/>
        <w:rPr>
          <w:iCs/>
          <w:color w:val="auto"/>
        </w:rPr>
      </w:pPr>
      <w:r w:rsidRPr="00BF08D6">
        <w:rPr>
          <w:b/>
          <w:bCs/>
          <w:iCs/>
          <w:color w:val="auto"/>
        </w:rPr>
        <w:t>P:</w:t>
      </w:r>
      <w:r w:rsidRPr="00BF08D6">
        <w:rPr>
          <w:iCs/>
          <w:color w:val="auto"/>
        </w:rPr>
        <w:t xml:space="preserve"> Möglichkeit der Garantenstellung aus Ingerenz bei gerechtfertigtem Vorverhalten</w:t>
      </w:r>
    </w:p>
    <w:p w14:paraId="01937C96" w14:textId="50C4CF21" w:rsidR="00631B49" w:rsidRPr="00BF08D6" w:rsidRDefault="00631B49" w:rsidP="00860D5E">
      <w:pPr>
        <w:pStyle w:val="SchemaDefinitionenHeader"/>
        <w:ind w:left="2124"/>
        <w:rPr>
          <w:iCs/>
          <w:color w:val="auto"/>
        </w:rPr>
      </w:pPr>
      <w:r w:rsidRPr="00BF08D6">
        <w:rPr>
          <w:iCs/>
          <w:color w:val="auto"/>
        </w:rPr>
        <w:t>Ein Standardproblem innerhalb der Garantenstellung ist, ob sich eine Garantenstellung aus Ingerenz ergeben kann, wenn ein gerechtfertigtes Vorverhalten vorliegt</w:t>
      </w:r>
      <w:r w:rsidR="007B0DE6" w:rsidRPr="00BF08D6">
        <w:rPr>
          <w:iCs/>
          <w:color w:val="auto"/>
        </w:rPr>
        <w:t xml:space="preserve"> (</w:t>
      </w:r>
      <w:r w:rsidR="006462D7" w:rsidRPr="00BF08D6">
        <w:rPr>
          <w:bCs/>
          <w:color w:val="auto"/>
        </w:rPr>
        <w:t xml:space="preserve">Schönke/Schröder/Bosch, 30. Aufl. 2019, § 13 </w:t>
      </w:r>
      <w:proofErr w:type="spellStart"/>
      <w:r w:rsidR="006462D7" w:rsidRPr="00BF08D6">
        <w:rPr>
          <w:bCs/>
          <w:color w:val="auto"/>
        </w:rPr>
        <w:t>Rn</w:t>
      </w:r>
      <w:proofErr w:type="spellEnd"/>
      <w:r w:rsidR="006462D7" w:rsidRPr="00BF08D6">
        <w:rPr>
          <w:bCs/>
          <w:color w:val="auto"/>
        </w:rPr>
        <w:t>. 37</w:t>
      </w:r>
      <w:r w:rsidR="007B0DE6" w:rsidRPr="00BF08D6">
        <w:rPr>
          <w:iCs/>
          <w:color w:val="auto"/>
        </w:rPr>
        <w:t>).</w:t>
      </w:r>
    </w:p>
    <w:p w14:paraId="1C5EF6B9" w14:textId="77777777" w:rsidR="00860D5E" w:rsidRPr="00BF08D6" w:rsidRDefault="00860D5E" w:rsidP="00BF08D6">
      <w:pPr>
        <w:pStyle w:val="SchemaDefinitionenHeader"/>
        <w:ind w:left="2124"/>
        <w:rPr>
          <w:iCs/>
          <w:color w:val="auto"/>
        </w:rPr>
      </w:pPr>
    </w:p>
    <w:p w14:paraId="1AD0B6B1" w14:textId="77777777" w:rsidR="00860D5E" w:rsidRPr="00BF08D6" w:rsidRDefault="00631B49" w:rsidP="00BF08D6">
      <w:pPr>
        <w:pStyle w:val="SchemaDefinitionenHeader"/>
        <w:ind w:left="2124" w:firstLine="708"/>
        <w:rPr>
          <w:i/>
          <w:color w:val="auto"/>
        </w:rPr>
      </w:pPr>
      <w:r w:rsidRPr="00BF08D6">
        <w:rPr>
          <w:i/>
          <w:color w:val="auto"/>
        </w:rPr>
        <w:lastRenderedPageBreak/>
        <w:t xml:space="preserve">Beispiel: </w:t>
      </w:r>
    </w:p>
    <w:p w14:paraId="79652BEC" w14:textId="3421CB6C" w:rsidR="00631B49" w:rsidRPr="00BF08D6" w:rsidRDefault="00631B49" w:rsidP="00BF08D6">
      <w:pPr>
        <w:pStyle w:val="SchemaDefinitionenHeader"/>
        <w:ind w:left="2832"/>
        <w:rPr>
          <w:iCs/>
          <w:color w:val="auto"/>
        </w:rPr>
      </w:pPr>
      <w:r w:rsidRPr="00BF08D6">
        <w:rPr>
          <w:iCs/>
          <w:color w:val="auto"/>
        </w:rPr>
        <w:t xml:space="preserve">A greift B körperlich an. B schlägt dem A daraufhin in Notwehr auf die Nase, woraufhin A bewusstlos liegen bleibt. B erkennt, dass A in der Nacht erfrieren könnte und lässt ihn trotzdem liegen. Kann B ein Garant für A sein, obwohl sein Schlag in </w:t>
      </w:r>
      <w:proofErr w:type="spellStart"/>
      <w:r w:rsidRPr="00BF08D6">
        <w:rPr>
          <w:iCs/>
          <w:color w:val="auto"/>
        </w:rPr>
        <w:t>A</w:t>
      </w:r>
      <w:r w:rsidR="00BF08D6" w:rsidRPr="00BF08D6">
        <w:rPr>
          <w:iCs/>
          <w:color w:val="auto"/>
        </w:rPr>
        <w:t>‘s</w:t>
      </w:r>
      <w:proofErr w:type="spellEnd"/>
      <w:r w:rsidRPr="00BF08D6">
        <w:rPr>
          <w:iCs/>
          <w:color w:val="auto"/>
        </w:rPr>
        <w:t xml:space="preserve"> Gesicht gerechtfertigt war?</w:t>
      </w:r>
    </w:p>
    <w:p w14:paraId="4EA810DD" w14:textId="77777777" w:rsidR="00842D81" w:rsidRDefault="00842D81" w:rsidP="00BF08D6">
      <w:pPr>
        <w:pStyle w:val="SchemaDefinitionenHeader"/>
        <w:ind w:left="2124" w:firstLine="708"/>
        <w:rPr>
          <w:i/>
          <w:color w:val="auto"/>
        </w:rPr>
      </w:pPr>
    </w:p>
    <w:p w14:paraId="1D598303" w14:textId="792D01B9" w:rsidR="00860D5E" w:rsidRPr="00BF08D6" w:rsidRDefault="00860D5E" w:rsidP="00BF08D6">
      <w:pPr>
        <w:pStyle w:val="SchemaDefinitionenHeader"/>
        <w:ind w:left="2124" w:firstLine="708"/>
        <w:rPr>
          <w:i/>
          <w:color w:val="auto"/>
        </w:rPr>
      </w:pPr>
      <w:r w:rsidRPr="00BF08D6">
        <w:rPr>
          <w:i/>
          <w:color w:val="auto"/>
        </w:rPr>
        <w:t>Meinung 1:</w:t>
      </w:r>
    </w:p>
    <w:p w14:paraId="02427EED" w14:textId="25AA6679" w:rsidR="007B0DE6" w:rsidRPr="00BF08D6" w:rsidRDefault="007B0DE6" w:rsidP="00BF08D6">
      <w:pPr>
        <w:pStyle w:val="SchemaDefinitionenHeader"/>
        <w:ind w:left="2124" w:firstLine="708"/>
        <w:rPr>
          <w:iCs/>
          <w:color w:val="auto"/>
        </w:rPr>
      </w:pPr>
      <w:r w:rsidRPr="00BF08D6">
        <w:rPr>
          <w:iCs/>
          <w:color w:val="auto"/>
        </w:rPr>
        <w:t>Eine Garantenstellung liegt vor</w:t>
      </w:r>
      <w:r w:rsidR="00860D5E" w:rsidRPr="00BF08D6">
        <w:rPr>
          <w:iCs/>
          <w:color w:val="auto"/>
        </w:rPr>
        <w:t>.</w:t>
      </w:r>
    </w:p>
    <w:p w14:paraId="152A0408" w14:textId="0DD9AAA8" w:rsidR="00860D5E" w:rsidRPr="00BF08D6" w:rsidRDefault="00860D5E" w:rsidP="00860D5E">
      <w:pPr>
        <w:pStyle w:val="SchemaDefinitionenHeader"/>
        <w:ind w:left="2124"/>
        <w:rPr>
          <w:iCs/>
          <w:color w:val="auto"/>
        </w:rPr>
      </w:pPr>
    </w:p>
    <w:p w14:paraId="7274A67A" w14:textId="324C9061" w:rsidR="00860D5E" w:rsidRPr="00BF08D6" w:rsidRDefault="00860D5E" w:rsidP="00BF08D6">
      <w:pPr>
        <w:pStyle w:val="SchemaDefinitionenHeader"/>
        <w:ind w:left="2832" w:firstLine="708"/>
        <w:rPr>
          <w:i/>
          <w:color w:val="auto"/>
        </w:rPr>
      </w:pPr>
      <w:r w:rsidRPr="00BF08D6">
        <w:rPr>
          <w:i/>
          <w:color w:val="auto"/>
        </w:rPr>
        <w:t>Argumente:</w:t>
      </w:r>
    </w:p>
    <w:p w14:paraId="02A45DBB" w14:textId="4877FBA4" w:rsidR="007B0DE6" w:rsidRPr="00BF08D6" w:rsidRDefault="00860D5E" w:rsidP="00BF08D6">
      <w:pPr>
        <w:pStyle w:val="SchemaDefinitionenHeader"/>
        <w:ind w:left="3540"/>
        <w:rPr>
          <w:iCs/>
          <w:color w:val="auto"/>
        </w:rPr>
      </w:pPr>
      <w:r w:rsidRPr="00BF08D6">
        <w:rPr>
          <w:iCs/>
          <w:color w:val="auto"/>
        </w:rPr>
        <w:t xml:space="preserve">Die </w:t>
      </w:r>
      <w:r w:rsidR="007B0DE6" w:rsidRPr="00BF08D6">
        <w:rPr>
          <w:iCs/>
          <w:color w:val="auto"/>
        </w:rPr>
        <w:t>Rechtfertigungssituation ist beendet und kann späteres Verhalten nicht mehr rechtfertigen.</w:t>
      </w:r>
      <w:r w:rsidRPr="00BF08D6">
        <w:rPr>
          <w:iCs/>
          <w:color w:val="auto"/>
        </w:rPr>
        <w:t xml:space="preserve"> </w:t>
      </w:r>
      <w:r w:rsidR="007B0DE6" w:rsidRPr="00BF08D6">
        <w:rPr>
          <w:iCs/>
          <w:color w:val="auto"/>
        </w:rPr>
        <w:t xml:space="preserve">Sonst </w:t>
      </w:r>
      <w:r w:rsidRPr="00BF08D6">
        <w:rPr>
          <w:iCs/>
          <w:color w:val="auto"/>
        </w:rPr>
        <w:t xml:space="preserve">besteht eine </w:t>
      </w:r>
      <w:r w:rsidR="007B0DE6" w:rsidRPr="00BF08D6">
        <w:rPr>
          <w:iCs/>
          <w:color w:val="auto"/>
        </w:rPr>
        <w:t>erhöhte Gefahr der Selbstjustiz.</w:t>
      </w:r>
    </w:p>
    <w:p w14:paraId="3DFDA4A9" w14:textId="77777777" w:rsidR="00860D5E" w:rsidRPr="00BF08D6" w:rsidRDefault="00860D5E" w:rsidP="00BF08D6">
      <w:pPr>
        <w:pStyle w:val="SchemaDefinitionenHeader"/>
        <w:ind w:left="2124"/>
        <w:rPr>
          <w:iCs/>
          <w:color w:val="auto"/>
        </w:rPr>
      </w:pPr>
    </w:p>
    <w:p w14:paraId="7D38EE29" w14:textId="4AA68653" w:rsidR="00860D5E" w:rsidRPr="00BF08D6" w:rsidRDefault="00860D5E" w:rsidP="00BF08D6">
      <w:pPr>
        <w:pStyle w:val="SchemaDefinitionenHeader"/>
        <w:ind w:left="2124" w:firstLine="708"/>
        <w:rPr>
          <w:i/>
          <w:color w:val="auto"/>
        </w:rPr>
      </w:pPr>
      <w:r w:rsidRPr="00BF08D6">
        <w:rPr>
          <w:i/>
          <w:color w:val="auto"/>
        </w:rPr>
        <w:t>Meinung 2:</w:t>
      </w:r>
    </w:p>
    <w:p w14:paraId="76AC9284" w14:textId="7D729912" w:rsidR="007B0DE6" w:rsidRPr="00BF08D6" w:rsidRDefault="007B0DE6" w:rsidP="00BF08D6">
      <w:pPr>
        <w:pStyle w:val="SchemaDefinitionenHeader"/>
        <w:ind w:left="2124" w:firstLine="708"/>
        <w:rPr>
          <w:iCs/>
          <w:color w:val="auto"/>
        </w:rPr>
      </w:pPr>
      <w:r w:rsidRPr="00BF08D6">
        <w:rPr>
          <w:iCs/>
          <w:color w:val="auto"/>
        </w:rPr>
        <w:t>Eine Garantenstellung liegt nicht vor</w:t>
      </w:r>
      <w:r w:rsidR="00860D5E" w:rsidRPr="00BF08D6">
        <w:rPr>
          <w:iCs/>
          <w:color w:val="auto"/>
        </w:rPr>
        <w:t>.</w:t>
      </w:r>
    </w:p>
    <w:p w14:paraId="30673BAE" w14:textId="03694AAC" w:rsidR="00860D5E" w:rsidRPr="00BF08D6" w:rsidRDefault="00860D5E" w:rsidP="00860D5E">
      <w:pPr>
        <w:pStyle w:val="SchemaDefinitionenHeader"/>
        <w:ind w:left="2124"/>
        <w:rPr>
          <w:iCs/>
          <w:color w:val="auto"/>
        </w:rPr>
      </w:pPr>
    </w:p>
    <w:p w14:paraId="79624E65" w14:textId="5260BE55" w:rsidR="00860D5E" w:rsidRPr="00BF08D6" w:rsidRDefault="00860D5E" w:rsidP="00BF08D6">
      <w:pPr>
        <w:pStyle w:val="SchemaDefinitionenHeader"/>
        <w:ind w:left="2832" w:firstLine="708"/>
        <w:rPr>
          <w:i/>
          <w:color w:val="auto"/>
        </w:rPr>
      </w:pPr>
      <w:r w:rsidRPr="00BF08D6">
        <w:rPr>
          <w:i/>
          <w:color w:val="auto"/>
        </w:rPr>
        <w:t>Argumente:</w:t>
      </w:r>
    </w:p>
    <w:p w14:paraId="1E82A38C" w14:textId="184F8251" w:rsidR="007B0DE6" w:rsidRPr="00BF08D6" w:rsidRDefault="007B0DE6" w:rsidP="00BF08D6">
      <w:pPr>
        <w:pStyle w:val="SchemaDefinitionenHeader"/>
        <w:ind w:left="3540"/>
        <w:rPr>
          <w:iCs/>
          <w:color w:val="auto"/>
        </w:rPr>
      </w:pPr>
      <w:r w:rsidRPr="00BF08D6">
        <w:rPr>
          <w:iCs/>
          <w:color w:val="auto"/>
        </w:rPr>
        <w:t>Rechtmäßiges Vorverhalten darf nicht im Nachhinein in ein rechtswidriges Verhalten umgedeutet werden</w:t>
      </w:r>
      <w:r w:rsidR="00860D5E" w:rsidRPr="00BF08D6">
        <w:rPr>
          <w:iCs/>
          <w:color w:val="auto"/>
        </w:rPr>
        <w:t xml:space="preserve">. </w:t>
      </w:r>
      <w:r w:rsidRPr="00BF08D6">
        <w:rPr>
          <w:iCs/>
          <w:color w:val="auto"/>
        </w:rPr>
        <w:t xml:space="preserve">Wer sich mit einem Angriff außerhalb der Rechtsordnung positioniert, darf nicht auf </w:t>
      </w:r>
      <w:r w:rsidR="00860D5E" w:rsidRPr="00BF08D6">
        <w:rPr>
          <w:iCs/>
          <w:color w:val="auto"/>
        </w:rPr>
        <w:t xml:space="preserve">eine </w:t>
      </w:r>
      <w:r w:rsidRPr="00BF08D6">
        <w:rPr>
          <w:iCs/>
          <w:color w:val="auto"/>
        </w:rPr>
        <w:t>Sonderpflicht seines „Opfers“ hoffen</w:t>
      </w:r>
      <w:r w:rsidR="00860D5E" w:rsidRPr="00BF08D6">
        <w:rPr>
          <w:iCs/>
          <w:color w:val="auto"/>
        </w:rPr>
        <w:t>. Es bestehen auch k</w:t>
      </w:r>
      <w:r w:rsidRPr="00BF08D6">
        <w:rPr>
          <w:iCs/>
          <w:color w:val="auto"/>
        </w:rPr>
        <w:t>eine Strafbarkeitslücke</w:t>
      </w:r>
      <w:r w:rsidR="00860D5E" w:rsidRPr="00BF08D6">
        <w:rPr>
          <w:iCs/>
          <w:color w:val="auto"/>
        </w:rPr>
        <w:t>n</w:t>
      </w:r>
      <w:r w:rsidRPr="00BF08D6">
        <w:rPr>
          <w:iCs/>
          <w:color w:val="auto"/>
        </w:rPr>
        <w:t xml:space="preserve">, da es § 323c </w:t>
      </w:r>
      <w:r w:rsidR="00860D5E" w:rsidRPr="00BF08D6">
        <w:rPr>
          <w:iCs/>
          <w:color w:val="auto"/>
        </w:rPr>
        <w:t xml:space="preserve">StGB </w:t>
      </w:r>
      <w:r w:rsidR="00314791" w:rsidRPr="00BF08D6">
        <w:rPr>
          <w:iCs/>
          <w:color w:val="auto"/>
        </w:rPr>
        <w:t xml:space="preserve">(Unterlassene Hilfeleistung) </w:t>
      </w:r>
      <w:r w:rsidRPr="00BF08D6">
        <w:rPr>
          <w:iCs/>
          <w:color w:val="auto"/>
        </w:rPr>
        <w:t>gibt</w:t>
      </w:r>
      <w:r w:rsidR="00860D5E" w:rsidRPr="00BF08D6">
        <w:rPr>
          <w:iCs/>
          <w:color w:val="auto"/>
        </w:rPr>
        <w:t>.</w:t>
      </w:r>
    </w:p>
    <w:p w14:paraId="34ACD7D5" w14:textId="77777777" w:rsidR="007166C3" w:rsidRPr="00BF08D6" w:rsidRDefault="007166C3" w:rsidP="00BF08D6">
      <w:pPr>
        <w:jc w:val="both"/>
        <w:rPr>
          <w:rFonts w:ascii="Open Sans" w:hAnsi="Open Sans" w:cs="Open Sans"/>
          <w:bCs/>
        </w:rPr>
      </w:pPr>
    </w:p>
    <w:p w14:paraId="36593B52" w14:textId="77777777" w:rsidR="00331F94" w:rsidRPr="00BF08D6" w:rsidRDefault="004770EF" w:rsidP="00331F94">
      <w:pPr>
        <w:pStyle w:val="SchemaDefinitionenHeader"/>
        <w:numPr>
          <w:ilvl w:val="1"/>
          <w:numId w:val="29"/>
        </w:numPr>
        <w:ind w:left="1044"/>
        <w:rPr>
          <w:i/>
          <w:iCs/>
          <w:color w:val="auto"/>
        </w:rPr>
      </w:pPr>
      <w:bookmarkStart w:id="13" w:name="Obj_Zurechnung"/>
      <w:r w:rsidRPr="00BF08D6">
        <w:rPr>
          <w:i/>
          <w:iCs/>
          <w:color w:val="auto"/>
        </w:rPr>
        <w:t>Objektive Zurechnung</w:t>
      </w:r>
    </w:p>
    <w:p w14:paraId="2E8FBF4B" w14:textId="57C93878" w:rsidR="00331F94" w:rsidRPr="00BF08D6" w:rsidRDefault="00331F94" w:rsidP="00331F94">
      <w:pPr>
        <w:pStyle w:val="SchemaDefinitionenHeader"/>
        <w:ind w:left="1044"/>
        <w:rPr>
          <w:i/>
          <w:iCs/>
          <w:color w:val="auto"/>
        </w:rPr>
      </w:pPr>
      <w:r w:rsidRPr="00BF08D6">
        <w:rPr>
          <w:color w:val="auto"/>
        </w:rPr>
        <w:t xml:space="preserve">Ein Erfolg wird dem Täter dann </w:t>
      </w:r>
      <w:r w:rsidRPr="00BF08D6">
        <w:rPr>
          <w:i/>
          <w:color w:val="auto"/>
        </w:rPr>
        <w:t>objektiv zugerechnet</w:t>
      </w:r>
      <w:r w:rsidRPr="00BF08D6">
        <w:rPr>
          <w:color w:val="auto"/>
        </w:rPr>
        <w:t>, wenn der Täter eine rechtlich relevante Gefahr geschaffen hat, die sich im konkreten tatbestandsmäßigen Erfolg realisiert.</w:t>
      </w:r>
      <w:r w:rsidR="006B1120" w:rsidRPr="00BF08D6">
        <w:rPr>
          <w:color w:val="auto"/>
        </w:rPr>
        <w:t xml:space="preserve"> (Schönke/Schröder, StGB § 15 </w:t>
      </w:r>
      <w:proofErr w:type="spellStart"/>
      <w:r w:rsidR="006B1120" w:rsidRPr="00BF08D6">
        <w:rPr>
          <w:color w:val="auto"/>
        </w:rPr>
        <w:t>Rn</w:t>
      </w:r>
      <w:proofErr w:type="spellEnd"/>
      <w:r w:rsidR="006B1120" w:rsidRPr="00BF08D6">
        <w:rPr>
          <w:color w:val="auto"/>
        </w:rPr>
        <w:t>. 156)</w:t>
      </w:r>
    </w:p>
    <w:p w14:paraId="3832DDC6" w14:textId="77777777" w:rsidR="00331F94" w:rsidRPr="00BF08D6" w:rsidRDefault="00331F94" w:rsidP="00331F94">
      <w:pPr>
        <w:pStyle w:val="SchemaDefinitionenHeader"/>
        <w:ind w:left="1044"/>
        <w:rPr>
          <w:iCs/>
          <w:color w:val="auto"/>
        </w:rPr>
      </w:pPr>
    </w:p>
    <w:p w14:paraId="77C3D714" w14:textId="77777777" w:rsidR="00842D81" w:rsidRDefault="00842D81">
      <w:pPr>
        <w:rPr>
          <w:rFonts w:ascii="Open Sans" w:hAnsi="Open Sans" w:cs="Open Sans"/>
          <w:i/>
          <w:iCs/>
        </w:rPr>
      </w:pPr>
      <w:bookmarkStart w:id="14" w:name="Entsprechungsklausel"/>
      <w:bookmarkEnd w:id="13"/>
      <w:r>
        <w:rPr>
          <w:i/>
          <w:iCs/>
        </w:rPr>
        <w:br w:type="page"/>
      </w:r>
    </w:p>
    <w:p w14:paraId="03B0B51B" w14:textId="0BA29892" w:rsidR="004770EF" w:rsidRPr="00BF08D6" w:rsidRDefault="004770EF" w:rsidP="008D6EEB">
      <w:pPr>
        <w:pStyle w:val="SchemaDefinitionenHeader"/>
        <w:numPr>
          <w:ilvl w:val="1"/>
          <w:numId w:val="29"/>
        </w:numPr>
        <w:ind w:left="1044"/>
        <w:rPr>
          <w:i/>
          <w:iCs/>
          <w:color w:val="auto"/>
        </w:rPr>
      </w:pPr>
      <w:r w:rsidRPr="00BF08D6">
        <w:rPr>
          <w:i/>
          <w:iCs/>
          <w:color w:val="auto"/>
        </w:rPr>
        <w:lastRenderedPageBreak/>
        <w:t>Entsprechungsklausel</w:t>
      </w:r>
    </w:p>
    <w:bookmarkEnd w:id="14"/>
    <w:p w14:paraId="2D2079D8" w14:textId="2413C073" w:rsidR="004770EF" w:rsidRPr="00BF08D6" w:rsidRDefault="004770EF" w:rsidP="004770EF">
      <w:pPr>
        <w:pStyle w:val="SchemaDefinitionenHeader"/>
        <w:ind w:left="1044"/>
        <w:rPr>
          <w:iCs/>
          <w:color w:val="auto"/>
        </w:rPr>
      </w:pPr>
      <w:r w:rsidRPr="00BF08D6">
        <w:rPr>
          <w:iCs/>
          <w:color w:val="auto"/>
        </w:rPr>
        <w:t>Das Unterlassen muss der Verwirklichung des Tatbestands durch ein Tun entsprechen. Das Unterlassen muss im konkreten Fall dem Unrechtsgehalt einer aktiven Tatbestandsverwirklichung so nahekommen, dass das Unterlassen sich dem „Unrechtstypus des Tatbestandes“ einfügt: Ein Verwirklichen des Tatbestandes durch Unterlassen muss</w:t>
      </w:r>
      <w:r w:rsidR="00971E5D" w:rsidRPr="00BF08D6">
        <w:rPr>
          <w:iCs/>
          <w:color w:val="auto"/>
        </w:rPr>
        <w:t xml:space="preserve"> somit</w:t>
      </w:r>
      <w:r w:rsidRPr="00BF08D6">
        <w:rPr>
          <w:iCs/>
          <w:color w:val="auto"/>
        </w:rPr>
        <w:t xml:space="preserve"> der Intensität nach gleichzusetzen sein, mit einer Verwirklichung des Tatbestandes durch ein Tun.</w:t>
      </w:r>
    </w:p>
    <w:p w14:paraId="0619ECDA" w14:textId="1845970D" w:rsidR="004770EF" w:rsidRPr="00BF08D6" w:rsidRDefault="004770EF">
      <w:pPr>
        <w:rPr>
          <w:rFonts w:ascii="Open Sans" w:hAnsi="Open Sans" w:cs="Open Sans"/>
          <w:i/>
          <w:iCs/>
        </w:rPr>
      </w:pPr>
    </w:p>
    <w:p w14:paraId="5ADE9898" w14:textId="06F5285B" w:rsidR="004770EF" w:rsidRPr="00BF08D6" w:rsidRDefault="004770EF" w:rsidP="008D6EEB">
      <w:pPr>
        <w:pStyle w:val="SchemaDefinitionenHeader"/>
        <w:numPr>
          <w:ilvl w:val="1"/>
          <w:numId w:val="29"/>
        </w:numPr>
        <w:ind w:left="1044"/>
        <w:rPr>
          <w:i/>
          <w:iCs/>
          <w:color w:val="auto"/>
        </w:rPr>
      </w:pPr>
      <w:bookmarkStart w:id="15" w:name="Vorsatz"/>
      <w:r w:rsidRPr="00BF08D6">
        <w:rPr>
          <w:i/>
          <w:iCs/>
          <w:color w:val="auto"/>
        </w:rPr>
        <w:t>Vorsatz</w:t>
      </w:r>
    </w:p>
    <w:bookmarkEnd w:id="15"/>
    <w:p w14:paraId="2890D397" w14:textId="054D81B9" w:rsidR="004770EF" w:rsidRPr="00BF08D6" w:rsidRDefault="004770EF" w:rsidP="004770EF">
      <w:pPr>
        <w:pStyle w:val="SchemaDefinitionenHeader"/>
        <w:ind w:left="1044"/>
        <w:rPr>
          <w:iCs/>
          <w:color w:val="auto"/>
        </w:rPr>
      </w:pPr>
      <w:r w:rsidRPr="00BF08D6">
        <w:rPr>
          <w:iCs/>
          <w:color w:val="auto"/>
        </w:rPr>
        <w:t xml:space="preserve">Der Vorsatz muss sich </w:t>
      </w:r>
      <w:r w:rsidR="00074DBF" w:rsidRPr="00BF08D6">
        <w:rPr>
          <w:iCs/>
          <w:color w:val="auto"/>
        </w:rPr>
        <w:t xml:space="preserve">zum einen </w:t>
      </w:r>
      <w:r w:rsidRPr="00BF08D6">
        <w:rPr>
          <w:iCs/>
          <w:color w:val="auto"/>
        </w:rPr>
        <w:t>auf die tatsächlichen Umstände, welche die Handlungspflicht begründen</w:t>
      </w:r>
      <w:r w:rsidR="00074DBF" w:rsidRPr="00BF08D6">
        <w:rPr>
          <w:iCs/>
          <w:color w:val="auto"/>
        </w:rPr>
        <w:t>, beziehen. Zum anderen müssen daneben von dem Vorsatz</w:t>
      </w:r>
      <w:r w:rsidRPr="00BF08D6">
        <w:rPr>
          <w:iCs/>
          <w:color w:val="auto"/>
        </w:rPr>
        <w:t xml:space="preserve"> </w:t>
      </w:r>
      <w:r w:rsidR="00074DBF" w:rsidRPr="00BF08D6">
        <w:rPr>
          <w:iCs/>
          <w:color w:val="auto"/>
        </w:rPr>
        <w:t xml:space="preserve">auch </w:t>
      </w:r>
      <w:r w:rsidRPr="00BF08D6">
        <w:rPr>
          <w:iCs/>
          <w:color w:val="auto"/>
        </w:rPr>
        <w:t>solche Umstände</w:t>
      </w:r>
      <w:r w:rsidR="00074DBF" w:rsidRPr="00BF08D6">
        <w:rPr>
          <w:iCs/>
          <w:color w:val="auto"/>
        </w:rPr>
        <w:t xml:space="preserve"> umfasst sein</w:t>
      </w:r>
      <w:r w:rsidRPr="00BF08D6">
        <w:rPr>
          <w:iCs/>
          <w:color w:val="auto"/>
        </w:rPr>
        <w:t>, aus denen sich die Zumutbarkeit</w:t>
      </w:r>
      <w:r w:rsidR="00074DBF" w:rsidRPr="00BF08D6">
        <w:rPr>
          <w:iCs/>
          <w:color w:val="auto"/>
        </w:rPr>
        <w:t xml:space="preserve"> und </w:t>
      </w:r>
      <w:r w:rsidRPr="00BF08D6">
        <w:rPr>
          <w:iCs/>
          <w:color w:val="auto"/>
        </w:rPr>
        <w:t xml:space="preserve">die Möglichkeit der Erfolgsverhinderung </w:t>
      </w:r>
      <w:r w:rsidR="00074DBF" w:rsidRPr="00BF08D6">
        <w:rPr>
          <w:iCs/>
          <w:color w:val="auto"/>
        </w:rPr>
        <w:t>ergibt</w:t>
      </w:r>
      <w:r w:rsidRPr="00BF08D6">
        <w:rPr>
          <w:iCs/>
          <w:color w:val="auto"/>
        </w:rPr>
        <w:t>.</w:t>
      </w:r>
    </w:p>
    <w:p w14:paraId="57120F90" w14:textId="77777777" w:rsidR="004770EF" w:rsidRPr="00BF08D6" w:rsidRDefault="004770EF" w:rsidP="004770EF">
      <w:pPr>
        <w:pStyle w:val="SchemaDefinitionenHeader"/>
        <w:ind w:left="1044"/>
        <w:rPr>
          <w:iCs/>
          <w:color w:val="auto"/>
        </w:rPr>
      </w:pPr>
    </w:p>
    <w:p w14:paraId="6AEBDAA1" w14:textId="77777777" w:rsidR="004770EF" w:rsidRPr="00BF08D6" w:rsidRDefault="004770EF" w:rsidP="008D6EEB">
      <w:pPr>
        <w:pStyle w:val="SchemaDefinitionenHeader"/>
        <w:numPr>
          <w:ilvl w:val="1"/>
          <w:numId w:val="29"/>
        </w:numPr>
        <w:rPr>
          <w:i/>
          <w:color w:val="auto"/>
        </w:rPr>
      </w:pPr>
      <w:bookmarkStart w:id="16" w:name="Sonstige"/>
      <w:r w:rsidRPr="00BF08D6">
        <w:rPr>
          <w:i/>
          <w:color w:val="auto"/>
        </w:rPr>
        <w:t>Sonstige spezifische subjektiven Tatbestandsmerkmale (z.B. Absichten)</w:t>
      </w:r>
    </w:p>
    <w:bookmarkEnd w:id="16"/>
    <w:p w14:paraId="752F5217" w14:textId="77777777" w:rsidR="004770EF" w:rsidRPr="00BF08D6" w:rsidRDefault="004770EF" w:rsidP="004770EF">
      <w:pPr>
        <w:pStyle w:val="SchemaDefinitionenHeader"/>
        <w:ind w:left="1776"/>
        <w:rPr>
          <w:color w:val="auto"/>
        </w:rPr>
      </w:pPr>
    </w:p>
    <w:p w14:paraId="46DF4FDA" w14:textId="77777777" w:rsidR="00842D81" w:rsidRDefault="004770EF" w:rsidP="00842D81">
      <w:pPr>
        <w:pStyle w:val="SchemaDefinitionenHeader"/>
        <w:numPr>
          <w:ilvl w:val="0"/>
          <w:numId w:val="29"/>
        </w:numPr>
        <w:rPr>
          <w:b/>
          <w:bCs/>
          <w:color w:val="auto"/>
        </w:rPr>
      </w:pPr>
      <w:bookmarkStart w:id="17" w:name="RW"/>
      <w:r w:rsidRPr="00BF08D6">
        <w:rPr>
          <w:b/>
          <w:bCs/>
          <w:color w:val="auto"/>
        </w:rPr>
        <w:t>Rechtswidrigkeit</w:t>
      </w:r>
      <w:bookmarkEnd w:id="17"/>
    </w:p>
    <w:p w14:paraId="4CE20B3E" w14:textId="77777777" w:rsidR="00752EEA" w:rsidRDefault="004770EF" w:rsidP="00752EEA">
      <w:pPr>
        <w:pStyle w:val="SchemaDefinitionenHeader"/>
        <w:ind w:left="360"/>
        <w:rPr>
          <w:b/>
          <w:bCs/>
          <w:color w:val="auto"/>
        </w:rPr>
      </w:pPr>
      <w:r w:rsidRPr="00842D81">
        <w:rPr>
          <w:b/>
          <w:bCs/>
          <w:iCs/>
          <w:color w:val="auto"/>
        </w:rPr>
        <w:t>P:</w:t>
      </w:r>
      <w:r w:rsidRPr="00842D81">
        <w:rPr>
          <w:iCs/>
          <w:color w:val="auto"/>
        </w:rPr>
        <w:t xml:space="preserve"> Rechtfertigende Pflichtenkollision </w:t>
      </w:r>
    </w:p>
    <w:p w14:paraId="3C43F67E" w14:textId="180D2F73" w:rsidR="0084513D" w:rsidRPr="00842D81" w:rsidRDefault="0084513D" w:rsidP="00752EEA">
      <w:pPr>
        <w:pStyle w:val="SchemaDefinitionenHeader"/>
        <w:ind w:left="708"/>
        <w:rPr>
          <w:b/>
          <w:bCs/>
          <w:color w:val="auto"/>
        </w:rPr>
      </w:pPr>
      <w:bookmarkStart w:id="18" w:name="_Hlk120020877"/>
      <w:r w:rsidRPr="00BF08D6">
        <w:rPr>
          <w:iCs/>
          <w:color w:val="auto"/>
        </w:rPr>
        <w:t xml:space="preserve">Die rechtfertigende Pflichtenkollision ist ein ungeschriebener Rechtfertigungsgrund, der speziell für Unterlassungsdelikte gilt. Sie beschreibt den Fall, wenn Jemand mehrere Handlungspflichten hat, nur eine seiner Pflichten bedienen kann und dadurch aber einen Straftatbestand verwirklicht. </w:t>
      </w:r>
      <w:r w:rsidR="00076F6A" w:rsidRPr="00BF08D6">
        <w:rPr>
          <w:iCs/>
          <w:color w:val="auto"/>
        </w:rPr>
        <w:t xml:space="preserve">Die Voraussetzungen einer solchen Rechtfertigung durch Pflichtenkollision sind, dass mindestens zwei Handlungspflichten vorliegen und beide Pflichten nicht gleichzeitig erfüllt werden können </w:t>
      </w:r>
      <w:bookmarkEnd w:id="18"/>
      <w:r w:rsidR="00076F6A" w:rsidRPr="00BF08D6">
        <w:rPr>
          <w:iCs/>
          <w:color w:val="auto"/>
        </w:rPr>
        <w:t>(</w:t>
      </w:r>
      <w:proofErr w:type="spellStart"/>
      <w:r w:rsidR="00C552C2" w:rsidRPr="00BF08D6">
        <w:rPr>
          <w:color w:val="auto"/>
        </w:rPr>
        <w:t>MüKoStGB</w:t>
      </w:r>
      <w:proofErr w:type="spellEnd"/>
      <w:r w:rsidR="00C552C2" w:rsidRPr="00BF08D6">
        <w:rPr>
          <w:color w:val="auto"/>
        </w:rPr>
        <w:t xml:space="preserve">/Erb, 4. Aufl. 2020, § 34 </w:t>
      </w:r>
      <w:proofErr w:type="spellStart"/>
      <w:r w:rsidR="00C552C2" w:rsidRPr="00BF08D6">
        <w:rPr>
          <w:color w:val="auto"/>
        </w:rPr>
        <w:t>Rn</w:t>
      </w:r>
      <w:proofErr w:type="spellEnd"/>
      <w:r w:rsidR="00C552C2" w:rsidRPr="00BF08D6">
        <w:rPr>
          <w:color w:val="auto"/>
        </w:rPr>
        <w:t>. 47).</w:t>
      </w:r>
    </w:p>
    <w:p w14:paraId="06F998D8" w14:textId="77777777" w:rsidR="00314791" w:rsidRPr="00BF08D6" w:rsidRDefault="00314791" w:rsidP="00314791">
      <w:pPr>
        <w:pStyle w:val="SchemaDefinitionenHeader"/>
        <w:ind w:left="1416"/>
        <w:rPr>
          <w:iCs/>
          <w:color w:val="auto"/>
        </w:rPr>
      </w:pPr>
    </w:p>
    <w:p w14:paraId="0B6EE82D" w14:textId="08037058" w:rsidR="00314791" w:rsidRPr="00BF08D6" w:rsidRDefault="00076F6A" w:rsidP="00842D81">
      <w:pPr>
        <w:pStyle w:val="SchemaDefinitionenHeader"/>
        <w:ind w:left="708" w:firstLine="708"/>
        <w:rPr>
          <w:i/>
          <w:color w:val="auto"/>
        </w:rPr>
      </w:pPr>
      <w:r w:rsidRPr="00BF08D6">
        <w:rPr>
          <w:i/>
          <w:color w:val="auto"/>
        </w:rPr>
        <w:t xml:space="preserve">Beispiel: </w:t>
      </w:r>
    </w:p>
    <w:p w14:paraId="47921A21" w14:textId="36BA561C" w:rsidR="0084513D" w:rsidRPr="00BF08D6" w:rsidRDefault="00076F6A" w:rsidP="00842D81">
      <w:pPr>
        <w:pStyle w:val="SchemaDefinitionenHeader"/>
        <w:ind w:left="1416"/>
        <w:rPr>
          <w:iCs/>
          <w:color w:val="auto"/>
        </w:rPr>
      </w:pPr>
      <w:r w:rsidRPr="00BF08D6">
        <w:rPr>
          <w:iCs/>
          <w:color w:val="auto"/>
        </w:rPr>
        <w:t xml:space="preserve">Vater V kann nur einen seiner zwei ertrinkenden Söhne retten. Der andere Sohn stirbt. Tatbestandlich stellt dies einen Totschlag durch Unterlassen gem. §§ 212, 13 StGB dar. V ist aber wegen </w:t>
      </w:r>
      <w:r w:rsidR="00314791" w:rsidRPr="00BF08D6">
        <w:rPr>
          <w:iCs/>
          <w:color w:val="auto"/>
        </w:rPr>
        <w:t xml:space="preserve">einer </w:t>
      </w:r>
      <w:r w:rsidRPr="00BF08D6">
        <w:rPr>
          <w:iCs/>
          <w:color w:val="auto"/>
        </w:rPr>
        <w:t>rechtfertigende</w:t>
      </w:r>
      <w:r w:rsidR="00314791" w:rsidRPr="00BF08D6">
        <w:rPr>
          <w:iCs/>
          <w:color w:val="auto"/>
        </w:rPr>
        <w:t xml:space="preserve">n </w:t>
      </w:r>
      <w:r w:rsidRPr="00BF08D6">
        <w:rPr>
          <w:iCs/>
          <w:color w:val="auto"/>
        </w:rPr>
        <w:t>Pflichtenkollision gerechtfertig</w:t>
      </w:r>
      <w:r w:rsidR="007B7B76" w:rsidRPr="00BF08D6">
        <w:rPr>
          <w:iCs/>
          <w:color w:val="auto"/>
        </w:rPr>
        <w:t>t.</w:t>
      </w:r>
    </w:p>
    <w:p w14:paraId="607DE932" w14:textId="77777777" w:rsidR="004770EF" w:rsidRPr="00BF08D6" w:rsidRDefault="004770EF" w:rsidP="004770EF">
      <w:pPr>
        <w:pStyle w:val="SchemaDefinitionenHeader"/>
        <w:ind w:left="360"/>
        <w:rPr>
          <w:b/>
          <w:bCs/>
          <w:color w:val="auto"/>
        </w:rPr>
      </w:pPr>
    </w:p>
    <w:p w14:paraId="53D1E72C" w14:textId="77777777" w:rsidR="00842D81" w:rsidRDefault="00842D81">
      <w:pPr>
        <w:rPr>
          <w:rFonts w:ascii="Open Sans" w:hAnsi="Open Sans" w:cs="Open Sans"/>
          <w:b/>
          <w:bCs/>
        </w:rPr>
      </w:pPr>
      <w:bookmarkStart w:id="19" w:name="Schuld"/>
      <w:r>
        <w:rPr>
          <w:b/>
          <w:bCs/>
        </w:rPr>
        <w:br w:type="page"/>
      </w:r>
    </w:p>
    <w:p w14:paraId="29B8BCFB" w14:textId="2F1F0364" w:rsidR="006B1120" w:rsidRPr="00842D81" w:rsidRDefault="004770EF" w:rsidP="008E0538">
      <w:pPr>
        <w:pStyle w:val="SchemaDefinitionenHeader"/>
        <w:numPr>
          <w:ilvl w:val="0"/>
          <w:numId w:val="29"/>
        </w:numPr>
        <w:rPr>
          <w:b/>
          <w:bCs/>
          <w:color w:val="auto"/>
        </w:rPr>
      </w:pPr>
      <w:r w:rsidRPr="00BF08D6">
        <w:rPr>
          <w:b/>
          <w:bCs/>
          <w:color w:val="auto"/>
        </w:rPr>
        <w:lastRenderedPageBreak/>
        <w:t>Schuld</w:t>
      </w:r>
      <w:bookmarkEnd w:id="19"/>
    </w:p>
    <w:p w14:paraId="0B559C18" w14:textId="094CE307" w:rsidR="00BF08D6" w:rsidRDefault="00BF08D6" w:rsidP="008E0538">
      <w:pPr>
        <w:pStyle w:val="SchemaDefinitionenHeader"/>
        <w:rPr>
          <w:b/>
          <w:bCs/>
          <w:color w:val="auto"/>
        </w:rPr>
      </w:pPr>
    </w:p>
    <w:p w14:paraId="65AE4434" w14:textId="77777777" w:rsidR="00752EEA" w:rsidRPr="00BF08D6" w:rsidRDefault="00752EEA" w:rsidP="008E0538">
      <w:pPr>
        <w:pStyle w:val="SchemaDefinitionenHeader"/>
        <w:rPr>
          <w:b/>
          <w:bCs/>
          <w:color w:val="auto"/>
        </w:rPr>
      </w:pPr>
    </w:p>
    <w:p w14:paraId="69FD601F" w14:textId="0E79D493" w:rsidR="006B1120" w:rsidRPr="00BF08D6" w:rsidRDefault="006D2EA9" w:rsidP="006B1120">
      <w:pPr>
        <w:jc w:val="both"/>
        <w:rPr>
          <w:rFonts w:ascii="Open Sans" w:hAnsi="Open Sans" w:cs="Open Sans"/>
          <w:bCs/>
        </w:rPr>
      </w:pPr>
      <w:bookmarkStart w:id="20" w:name="_Hlk120020906"/>
      <w:r w:rsidRPr="00BF08D6">
        <w:rPr>
          <w:rFonts w:ascii="Open Sans" w:hAnsi="Open Sans" w:cs="Open Sans"/>
          <w:bCs/>
        </w:rPr>
        <w:t>Quellen</w:t>
      </w:r>
      <w:r w:rsidR="006B1120" w:rsidRPr="00BF08D6">
        <w:rPr>
          <w:rFonts w:ascii="Open Sans" w:hAnsi="Open Sans" w:cs="Open Sans"/>
          <w:bCs/>
        </w:rPr>
        <w:t xml:space="preserve">: </w:t>
      </w:r>
    </w:p>
    <w:p w14:paraId="167F8BB6" w14:textId="4673EF12" w:rsidR="00B55CC4" w:rsidRPr="00BF08D6" w:rsidRDefault="00B55CC4" w:rsidP="00B55CC4">
      <w:pPr>
        <w:jc w:val="both"/>
        <w:rPr>
          <w:rFonts w:ascii="Open Sans" w:hAnsi="Open Sans" w:cs="Open Sans"/>
          <w:bCs/>
        </w:rPr>
      </w:pPr>
      <w:proofErr w:type="spellStart"/>
      <w:r w:rsidRPr="00BF08D6">
        <w:rPr>
          <w:rFonts w:ascii="Open Sans" w:hAnsi="Open Sans" w:cs="Open Sans"/>
          <w:bCs/>
        </w:rPr>
        <w:t>JuS</w:t>
      </w:r>
      <w:proofErr w:type="spellEnd"/>
      <w:r w:rsidRPr="00BF08D6">
        <w:rPr>
          <w:rFonts w:ascii="Open Sans" w:hAnsi="Open Sans" w:cs="Open Sans"/>
          <w:bCs/>
        </w:rPr>
        <w:t xml:space="preserve"> 2010, 490.</w:t>
      </w:r>
    </w:p>
    <w:p w14:paraId="56919C37" w14:textId="5C0547F5" w:rsidR="00153C31" w:rsidRPr="00BF08D6" w:rsidRDefault="00153C31" w:rsidP="00B55CC4">
      <w:pPr>
        <w:jc w:val="both"/>
        <w:rPr>
          <w:rFonts w:ascii="Open Sans" w:hAnsi="Open Sans" w:cs="Open Sans"/>
          <w:bCs/>
        </w:rPr>
      </w:pPr>
      <w:bookmarkStart w:id="21" w:name="_Hlk68954456"/>
      <w:r w:rsidRPr="00BF08D6">
        <w:rPr>
          <w:rFonts w:ascii="Open Sans" w:hAnsi="Open Sans" w:cs="Open Sans"/>
          <w:bCs/>
        </w:rPr>
        <w:t xml:space="preserve">Schönke/Schröder/Bosch, 30. Aufl. 2019, StGB, Vorbemerkungen zu den §§ 13 ff. </w:t>
      </w:r>
      <w:proofErr w:type="spellStart"/>
      <w:r w:rsidRPr="00BF08D6">
        <w:rPr>
          <w:rFonts w:ascii="Open Sans" w:hAnsi="Open Sans" w:cs="Open Sans"/>
          <w:bCs/>
        </w:rPr>
        <w:t>Rn</w:t>
      </w:r>
      <w:proofErr w:type="spellEnd"/>
      <w:r w:rsidRPr="00BF08D6">
        <w:rPr>
          <w:rFonts w:ascii="Open Sans" w:hAnsi="Open Sans" w:cs="Open Sans"/>
          <w:bCs/>
        </w:rPr>
        <w:t>. 61, 93, 144; 158a</w:t>
      </w:r>
      <w:r w:rsidR="00BF08D6" w:rsidRPr="00BF08D6">
        <w:rPr>
          <w:rFonts w:ascii="Open Sans" w:hAnsi="Open Sans" w:cs="Open Sans"/>
          <w:bCs/>
        </w:rPr>
        <w:t xml:space="preserve">; § 13 </w:t>
      </w:r>
      <w:proofErr w:type="spellStart"/>
      <w:r w:rsidR="00BF08D6" w:rsidRPr="00BF08D6">
        <w:rPr>
          <w:rFonts w:ascii="Open Sans" w:hAnsi="Open Sans" w:cs="Open Sans"/>
          <w:bCs/>
        </w:rPr>
        <w:t>Rn</w:t>
      </w:r>
      <w:proofErr w:type="spellEnd"/>
      <w:r w:rsidR="00BF08D6" w:rsidRPr="00BF08D6">
        <w:rPr>
          <w:rFonts w:ascii="Open Sans" w:hAnsi="Open Sans" w:cs="Open Sans"/>
          <w:bCs/>
        </w:rPr>
        <w:t xml:space="preserve">. 37.; </w:t>
      </w:r>
      <w:r w:rsidR="00BF08D6" w:rsidRPr="00BF08D6">
        <w:rPr>
          <w:rFonts w:ascii="Open Sans" w:hAnsi="Open Sans" w:cs="Open Sans"/>
        </w:rPr>
        <w:t xml:space="preserve">§ 15 </w:t>
      </w:r>
      <w:proofErr w:type="spellStart"/>
      <w:r w:rsidR="00BF08D6" w:rsidRPr="00BF08D6">
        <w:rPr>
          <w:rFonts w:ascii="Open Sans" w:hAnsi="Open Sans" w:cs="Open Sans"/>
        </w:rPr>
        <w:t>Rn</w:t>
      </w:r>
      <w:proofErr w:type="spellEnd"/>
      <w:r w:rsidR="00BF08D6" w:rsidRPr="00BF08D6">
        <w:rPr>
          <w:rFonts w:ascii="Open Sans" w:hAnsi="Open Sans" w:cs="Open Sans"/>
        </w:rPr>
        <w:t>. 156.</w:t>
      </w:r>
    </w:p>
    <w:bookmarkEnd w:id="21"/>
    <w:p w14:paraId="54885F40" w14:textId="72508F1E" w:rsidR="00B55CC4" w:rsidRPr="00BF08D6" w:rsidRDefault="00B55CC4" w:rsidP="00B55CC4">
      <w:pPr>
        <w:jc w:val="both"/>
        <w:rPr>
          <w:rFonts w:ascii="Open Sans" w:hAnsi="Open Sans" w:cs="Open Sans"/>
          <w:bCs/>
        </w:rPr>
      </w:pPr>
      <w:r w:rsidRPr="00BF08D6">
        <w:rPr>
          <w:rFonts w:ascii="Open Sans" w:hAnsi="Open Sans" w:cs="Open Sans"/>
          <w:bCs/>
        </w:rPr>
        <w:t>BGHSt 6, 1(2).</w:t>
      </w:r>
    </w:p>
    <w:p w14:paraId="33A866B0" w14:textId="5CAFCDEF" w:rsidR="006B1120" w:rsidRPr="00BF08D6" w:rsidRDefault="00B55CC4" w:rsidP="008E0538">
      <w:pPr>
        <w:jc w:val="both"/>
        <w:rPr>
          <w:rFonts w:ascii="Open Sans" w:hAnsi="Open Sans" w:cs="Open Sans"/>
          <w:bCs/>
        </w:rPr>
      </w:pPr>
      <w:bookmarkStart w:id="22" w:name="_Hlk65072441"/>
      <w:r w:rsidRPr="00BF08D6">
        <w:rPr>
          <w:rFonts w:ascii="Open Sans" w:hAnsi="Open Sans" w:cs="Open Sans"/>
          <w:bCs/>
        </w:rPr>
        <w:t xml:space="preserve">Fischer, 67. Aufl. 2020, StGB § 13 </w:t>
      </w:r>
      <w:proofErr w:type="spellStart"/>
      <w:r w:rsidRPr="00BF08D6">
        <w:rPr>
          <w:rFonts w:ascii="Open Sans" w:hAnsi="Open Sans" w:cs="Open Sans"/>
          <w:bCs/>
        </w:rPr>
        <w:t>Rn</w:t>
      </w:r>
      <w:proofErr w:type="spellEnd"/>
      <w:r w:rsidRPr="00BF08D6">
        <w:rPr>
          <w:rFonts w:ascii="Open Sans" w:hAnsi="Open Sans" w:cs="Open Sans"/>
          <w:bCs/>
        </w:rPr>
        <w:t>. 4 ff.</w:t>
      </w:r>
      <w:bookmarkEnd w:id="22"/>
    </w:p>
    <w:p w14:paraId="5F7C2071" w14:textId="1C6BB6F1" w:rsidR="00AE5F93" w:rsidRPr="00BF08D6" w:rsidRDefault="00AE5F93" w:rsidP="008E0538">
      <w:pPr>
        <w:jc w:val="both"/>
        <w:rPr>
          <w:rFonts w:ascii="Open Sans" w:hAnsi="Open Sans" w:cs="Open Sans"/>
          <w:bCs/>
        </w:rPr>
      </w:pPr>
      <w:r w:rsidRPr="00BF08D6">
        <w:rPr>
          <w:rFonts w:ascii="Open Sans" w:hAnsi="Open Sans" w:cs="Open Sans"/>
          <w:bCs/>
        </w:rPr>
        <w:t>M</w:t>
      </w:r>
      <w:r w:rsidR="00A077F3" w:rsidRPr="00BF08D6">
        <w:rPr>
          <w:rFonts w:ascii="Open Sans" w:hAnsi="Open Sans" w:cs="Open Sans"/>
          <w:bCs/>
        </w:rPr>
        <w:t xml:space="preserve">ünchener Kommentar zum StGB </w:t>
      </w:r>
      <w:r w:rsidRPr="00BF08D6">
        <w:rPr>
          <w:rFonts w:ascii="Open Sans" w:hAnsi="Open Sans" w:cs="Open Sans"/>
          <w:bCs/>
        </w:rPr>
        <w:t>/</w:t>
      </w:r>
      <w:r w:rsidR="00A077F3" w:rsidRPr="00BF08D6">
        <w:rPr>
          <w:rFonts w:ascii="Open Sans" w:hAnsi="Open Sans" w:cs="Open Sans"/>
          <w:bCs/>
        </w:rPr>
        <w:t xml:space="preserve"> </w:t>
      </w:r>
      <w:r w:rsidRPr="00BF08D6">
        <w:rPr>
          <w:rFonts w:ascii="Open Sans" w:hAnsi="Open Sans" w:cs="Open Sans"/>
          <w:bCs/>
        </w:rPr>
        <w:t xml:space="preserve">Erb, 4. Aufl. 2020, § 34 </w:t>
      </w:r>
      <w:proofErr w:type="spellStart"/>
      <w:r w:rsidRPr="00BF08D6">
        <w:rPr>
          <w:rFonts w:ascii="Open Sans" w:hAnsi="Open Sans" w:cs="Open Sans"/>
          <w:bCs/>
        </w:rPr>
        <w:t>Rn</w:t>
      </w:r>
      <w:proofErr w:type="spellEnd"/>
      <w:r w:rsidRPr="00BF08D6">
        <w:rPr>
          <w:rFonts w:ascii="Open Sans" w:hAnsi="Open Sans" w:cs="Open Sans"/>
          <w:bCs/>
        </w:rPr>
        <w:t>. 47.</w:t>
      </w:r>
      <w:bookmarkEnd w:id="20"/>
    </w:p>
    <w:sectPr w:rsidR="00AE5F93" w:rsidRPr="00BF08D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86E2" w14:textId="77777777" w:rsidR="00D4452A" w:rsidRDefault="00D4452A" w:rsidP="0041069B">
      <w:pPr>
        <w:spacing w:after="0" w:line="240" w:lineRule="auto"/>
      </w:pPr>
      <w:r>
        <w:separator/>
      </w:r>
    </w:p>
  </w:endnote>
  <w:endnote w:type="continuationSeparator" w:id="0">
    <w:p w14:paraId="67042619" w14:textId="77777777" w:rsidR="00D4452A" w:rsidRDefault="00D4452A"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7CA5" w14:textId="77777777" w:rsidR="00560EA2" w:rsidRDefault="00560E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23" w:name="_Hlk64808829"/>
        <w:bookmarkStart w:id="24"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A6AD9"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B8EC3B"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C8183"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251F0562"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23"/>
    <w:bookmarkEnd w:id="24"/>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B7A1" w14:textId="77777777" w:rsidR="00560EA2" w:rsidRDefault="00560E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3D32" w14:textId="77777777" w:rsidR="00D4452A" w:rsidRDefault="00D4452A" w:rsidP="0041069B">
      <w:pPr>
        <w:spacing w:after="0" w:line="240" w:lineRule="auto"/>
      </w:pPr>
      <w:r>
        <w:separator/>
      </w:r>
    </w:p>
  </w:footnote>
  <w:footnote w:type="continuationSeparator" w:id="0">
    <w:p w14:paraId="2348535F" w14:textId="77777777" w:rsidR="00D4452A" w:rsidRDefault="00D4452A"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1BEE" w14:textId="77777777" w:rsidR="00560EA2" w:rsidRDefault="00560EA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2392" w14:textId="77777777" w:rsidR="00560EA2" w:rsidRDefault="00560EA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3701CD0"/>
    <w:multiLevelType w:val="multilevel"/>
    <w:tmpl w:val="F89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53AEC"/>
    <w:multiLevelType w:val="multilevel"/>
    <w:tmpl w:val="417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7" w15:restartNumberingAfterBreak="0">
    <w:nsid w:val="1E333FEC"/>
    <w:multiLevelType w:val="hybridMultilevel"/>
    <w:tmpl w:val="1A3260F6"/>
    <w:lvl w:ilvl="0" w:tplc="AB2C57EC">
      <w:start w:val="1"/>
      <w:numFmt w:val="decimal"/>
      <w:lvlText w:val="%1."/>
      <w:lvlJc w:val="left"/>
      <w:pPr>
        <w:ind w:left="1392" w:hanging="360"/>
      </w:pPr>
      <w:rPr>
        <w:rFonts w:hint="default"/>
      </w:rPr>
    </w:lvl>
    <w:lvl w:ilvl="1" w:tplc="04070019">
      <w:start w:val="1"/>
      <w:numFmt w:val="lowerLetter"/>
      <w:lvlText w:val="%2."/>
      <w:lvlJc w:val="left"/>
      <w:pPr>
        <w:ind w:left="2112" w:hanging="360"/>
      </w:pPr>
    </w:lvl>
    <w:lvl w:ilvl="2" w:tplc="0407001B">
      <w:start w:val="1"/>
      <w:numFmt w:val="lowerRoman"/>
      <w:lvlText w:val="%3."/>
      <w:lvlJc w:val="right"/>
      <w:pPr>
        <w:ind w:left="2832" w:hanging="180"/>
      </w:pPr>
    </w:lvl>
    <w:lvl w:ilvl="3" w:tplc="0407000F">
      <w:start w:val="1"/>
      <w:numFmt w:val="decimal"/>
      <w:lvlText w:val="%4."/>
      <w:lvlJc w:val="left"/>
      <w:pPr>
        <w:ind w:left="3552" w:hanging="360"/>
      </w:pPr>
    </w:lvl>
    <w:lvl w:ilvl="4" w:tplc="04070019" w:tentative="1">
      <w:start w:val="1"/>
      <w:numFmt w:val="lowerLetter"/>
      <w:lvlText w:val="%5."/>
      <w:lvlJc w:val="left"/>
      <w:pPr>
        <w:ind w:left="4272" w:hanging="360"/>
      </w:pPr>
    </w:lvl>
    <w:lvl w:ilvl="5" w:tplc="0407001B" w:tentative="1">
      <w:start w:val="1"/>
      <w:numFmt w:val="lowerRoman"/>
      <w:lvlText w:val="%6."/>
      <w:lvlJc w:val="right"/>
      <w:pPr>
        <w:ind w:left="4992" w:hanging="180"/>
      </w:pPr>
    </w:lvl>
    <w:lvl w:ilvl="6" w:tplc="0407000F" w:tentative="1">
      <w:start w:val="1"/>
      <w:numFmt w:val="decimal"/>
      <w:lvlText w:val="%7."/>
      <w:lvlJc w:val="left"/>
      <w:pPr>
        <w:ind w:left="5712" w:hanging="360"/>
      </w:pPr>
    </w:lvl>
    <w:lvl w:ilvl="7" w:tplc="04070019" w:tentative="1">
      <w:start w:val="1"/>
      <w:numFmt w:val="lowerLetter"/>
      <w:lvlText w:val="%8."/>
      <w:lvlJc w:val="left"/>
      <w:pPr>
        <w:ind w:left="6432" w:hanging="360"/>
      </w:pPr>
    </w:lvl>
    <w:lvl w:ilvl="8" w:tplc="0407001B" w:tentative="1">
      <w:start w:val="1"/>
      <w:numFmt w:val="lowerRoman"/>
      <w:lvlText w:val="%9."/>
      <w:lvlJc w:val="right"/>
      <w:pPr>
        <w:ind w:left="7152" w:hanging="180"/>
      </w:pPr>
    </w:lvl>
  </w:abstractNum>
  <w:abstractNum w:abstractNumId="8"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0" w15:restartNumberingAfterBreak="0">
    <w:nsid w:val="29527BEF"/>
    <w:multiLevelType w:val="hybridMultilevel"/>
    <w:tmpl w:val="6C2075E2"/>
    <w:lvl w:ilvl="0" w:tplc="6E6A5DDE">
      <w:numFmt w:val="bullet"/>
      <w:lvlText w:val="-"/>
      <w:lvlJc w:val="left"/>
      <w:pPr>
        <w:ind w:left="2490" w:hanging="360"/>
      </w:pPr>
      <w:rPr>
        <w:rFonts w:ascii="Open Sans" w:eastAsiaTheme="minorHAnsi" w:hAnsi="Open Sans" w:cs="Open Sans" w:hint="default"/>
      </w:rPr>
    </w:lvl>
    <w:lvl w:ilvl="1" w:tplc="04070003">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11"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3" w15:restartNumberingAfterBreak="0">
    <w:nsid w:val="325A51CF"/>
    <w:multiLevelType w:val="hybridMultilevel"/>
    <w:tmpl w:val="5BA423D6"/>
    <w:lvl w:ilvl="0" w:tplc="04070019">
      <w:start w:val="1"/>
      <w:numFmt w:val="lowerLetter"/>
      <w:lvlText w:val="%1."/>
      <w:lvlJc w:val="left"/>
      <w:pPr>
        <w:ind w:left="2112" w:hanging="360"/>
      </w:pPr>
    </w:lvl>
    <w:lvl w:ilvl="1" w:tplc="04070019" w:tentative="1">
      <w:start w:val="1"/>
      <w:numFmt w:val="lowerLetter"/>
      <w:lvlText w:val="%2."/>
      <w:lvlJc w:val="left"/>
      <w:pPr>
        <w:ind w:left="2832" w:hanging="360"/>
      </w:pPr>
    </w:lvl>
    <w:lvl w:ilvl="2" w:tplc="0407001B" w:tentative="1">
      <w:start w:val="1"/>
      <w:numFmt w:val="lowerRoman"/>
      <w:lvlText w:val="%3."/>
      <w:lvlJc w:val="right"/>
      <w:pPr>
        <w:ind w:left="3552" w:hanging="180"/>
      </w:pPr>
    </w:lvl>
    <w:lvl w:ilvl="3" w:tplc="0407000F" w:tentative="1">
      <w:start w:val="1"/>
      <w:numFmt w:val="decimal"/>
      <w:lvlText w:val="%4."/>
      <w:lvlJc w:val="left"/>
      <w:pPr>
        <w:ind w:left="4272" w:hanging="360"/>
      </w:pPr>
    </w:lvl>
    <w:lvl w:ilvl="4" w:tplc="04070019" w:tentative="1">
      <w:start w:val="1"/>
      <w:numFmt w:val="lowerLetter"/>
      <w:lvlText w:val="%5."/>
      <w:lvlJc w:val="left"/>
      <w:pPr>
        <w:ind w:left="4992" w:hanging="360"/>
      </w:pPr>
    </w:lvl>
    <w:lvl w:ilvl="5" w:tplc="0407001B" w:tentative="1">
      <w:start w:val="1"/>
      <w:numFmt w:val="lowerRoman"/>
      <w:lvlText w:val="%6."/>
      <w:lvlJc w:val="right"/>
      <w:pPr>
        <w:ind w:left="5712" w:hanging="180"/>
      </w:pPr>
    </w:lvl>
    <w:lvl w:ilvl="6" w:tplc="0407000F" w:tentative="1">
      <w:start w:val="1"/>
      <w:numFmt w:val="decimal"/>
      <w:lvlText w:val="%7."/>
      <w:lvlJc w:val="left"/>
      <w:pPr>
        <w:ind w:left="6432" w:hanging="360"/>
      </w:pPr>
    </w:lvl>
    <w:lvl w:ilvl="7" w:tplc="04070019" w:tentative="1">
      <w:start w:val="1"/>
      <w:numFmt w:val="lowerLetter"/>
      <w:lvlText w:val="%8."/>
      <w:lvlJc w:val="left"/>
      <w:pPr>
        <w:ind w:left="7152" w:hanging="360"/>
      </w:pPr>
    </w:lvl>
    <w:lvl w:ilvl="8" w:tplc="0407001B" w:tentative="1">
      <w:start w:val="1"/>
      <w:numFmt w:val="lowerRoman"/>
      <w:lvlText w:val="%9."/>
      <w:lvlJc w:val="right"/>
      <w:pPr>
        <w:ind w:left="7872" w:hanging="180"/>
      </w:pPr>
    </w:lvl>
  </w:abstractNum>
  <w:abstractNum w:abstractNumId="14"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5"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6"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7"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8"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9" w15:restartNumberingAfterBreak="0">
    <w:nsid w:val="51CF4189"/>
    <w:multiLevelType w:val="multilevel"/>
    <w:tmpl w:val="DF3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21"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2" w15:restartNumberingAfterBreak="0">
    <w:nsid w:val="63394567"/>
    <w:multiLevelType w:val="multilevel"/>
    <w:tmpl w:val="A46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25"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6CEE356F"/>
    <w:multiLevelType w:val="hybridMultilevel"/>
    <w:tmpl w:val="F2682232"/>
    <w:lvl w:ilvl="0" w:tplc="AB2C57E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9"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30"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31"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2" w15:restartNumberingAfterBreak="0">
    <w:nsid w:val="7B6C2502"/>
    <w:multiLevelType w:val="hybridMultilevel"/>
    <w:tmpl w:val="F2682232"/>
    <w:lvl w:ilvl="0" w:tplc="AB2C57E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1394618690">
    <w:abstractNumId w:val="27"/>
  </w:num>
  <w:num w:numId="2" w16cid:durableId="1556309337">
    <w:abstractNumId w:val="7"/>
  </w:num>
  <w:num w:numId="3" w16cid:durableId="1211187706">
    <w:abstractNumId w:val="9"/>
  </w:num>
  <w:num w:numId="4" w16cid:durableId="1084451767">
    <w:abstractNumId w:val="29"/>
  </w:num>
  <w:num w:numId="5" w16cid:durableId="1112238635">
    <w:abstractNumId w:val="33"/>
  </w:num>
  <w:num w:numId="6" w16cid:durableId="1179198106">
    <w:abstractNumId w:val="18"/>
  </w:num>
  <w:num w:numId="7" w16cid:durableId="1948655218">
    <w:abstractNumId w:val="15"/>
  </w:num>
  <w:num w:numId="8" w16cid:durableId="2080012698">
    <w:abstractNumId w:val="23"/>
  </w:num>
  <w:num w:numId="9" w16cid:durableId="1374306051">
    <w:abstractNumId w:val="28"/>
  </w:num>
  <w:num w:numId="10" w16cid:durableId="1932662279">
    <w:abstractNumId w:val="16"/>
  </w:num>
  <w:num w:numId="11" w16cid:durableId="1667977863">
    <w:abstractNumId w:val="31"/>
  </w:num>
  <w:num w:numId="12" w16cid:durableId="1877545876">
    <w:abstractNumId w:val="17"/>
  </w:num>
  <w:num w:numId="13" w16cid:durableId="1173112078">
    <w:abstractNumId w:val="30"/>
  </w:num>
  <w:num w:numId="14" w16cid:durableId="1749839350">
    <w:abstractNumId w:val="24"/>
  </w:num>
  <w:num w:numId="15" w16cid:durableId="893348482">
    <w:abstractNumId w:val="14"/>
  </w:num>
  <w:num w:numId="16" w16cid:durableId="401491643">
    <w:abstractNumId w:val="0"/>
  </w:num>
  <w:num w:numId="17" w16cid:durableId="1669551232">
    <w:abstractNumId w:val="20"/>
  </w:num>
  <w:num w:numId="18" w16cid:durableId="2048485463">
    <w:abstractNumId w:val="4"/>
  </w:num>
  <w:num w:numId="19" w16cid:durableId="1296713662">
    <w:abstractNumId w:val="21"/>
  </w:num>
  <w:num w:numId="20" w16cid:durableId="1927761548">
    <w:abstractNumId w:val="6"/>
  </w:num>
  <w:num w:numId="21" w16cid:durableId="804589650">
    <w:abstractNumId w:val="12"/>
  </w:num>
  <w:num w:numId="22" w16cid:durableId="1771773910">
    <w:abstractNumId w:val="3"/>
  </w:num>
  <w:num w:numId="23" w16cid:durableId="665594835">
    <w:abstractNumId w:val="11"/>
  </w:num>
  <w:num w:numId="24" w16cid:durableId="758599139">
    <w:abstractNumId w:val="25"/>
  </w:num>
  <w:num w:numId="25" w16cid:durableId="1631782204">
    <w:abstractNumId w:val="8"/>
  </w:num>
  <w:num w:numId="26" w16cid:durableId="412968514">
    <w:abstractNumId w:val="10"/>
  </w:num>
  <w:num w:numId="27" w16cid:durableId="446238728">
    <w:abstractNumId w:val="26"/>
  </w:num>
  <w:num w:numId="28" w16cid:durableId="17464955">
    <w:abstractNumId w:val="13"/>
  </w:num>
  <w:num w:numId="29" w16cid:durableId="174392008">
    <w:abstractNumId w:val="32"/>
  </w:num>
  <w:num w:numId="30" w16cid:durableId="40593141">
    <w:abstractNumId w:val="5"/>
  </w:num>
  <w:num w:numId="31" w16cid:durableId="709569241">
    <w:abstractNumId w:val="5"/>
  </w:num>
  <w:num w:numId="32" w16cid:durableId="1059741021">
    <w:abstractNumId w:val="5"/>
  </w:num>
  <w:num w:numId="33" w16cid:durableId="1881673278">
    <w:abstractNumId w:val="5"/>
  </w:num>
  <w:num w:numId="34" w16cid:durableId="1245994049">
    <w:abstractNumId w:val="5"/>
  </w:num>
  <w:num w:numId="35" w16cid:durableId="801655990">
    <w:abstractNumId w:val="5"/>
  </w:num>
  <w:num w:numId="36" w16cid:durableId="12464560">
    <w:abstractNumId w:val="5"/>
  </w:num>
  <w:num w:numId="37" w16cid:durableId="1473521840">
    <w:abstractNumId w:val="5"/>
  </w:num>
  <w:num w:numId="38" w16cid:durableId="676079104">
    <w:abstractNumId w:val="5"/>
  </w:num>
  <w:num w:numId="39" w16cid:durableId="1788887821">
    <w:abstractNumId w:val="5"/>
  </w:num>
  <w:num w:numId="40" w16cid:durableId="754670580">
    <w:abstractNumId w:val="2"/>
  </w:num>
  <w:num w:numId="41" w16cid:durableId="1517966381">
    <w:abstractNumId w:val="22"/>
  </w:num>
  <w:num w:numId="42" w16cid:durableId="230964754">
    <w:abstractNumId w:val="1"/>
  </w:num>
  <w:num w:numId="43" w16cid:durableId="18217295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3424B"/>
    <w:rsid w:val="00040184"/>
    <w:rsid w:val="00074DBF"/>
    <w:rsid w:val="00076F6A"/>
    <w:rsid w:val="000A233F"/>
    <w:rsid w:val="000E0DA3"/>
    <w:rsid w:val="000E74C1"/>
    <w:rsid w:val="0010748A"/>
    <w:rsid w:val="00110F6B"/>
    <w:rsid w:val="001502AB"/>
    <w:rsid w:val="00153C31"/>
    <w:rsid w:val="00164564"/>
    <w:rsid w:val="00172193"/>
    <w:rsid w:val="0017497A"/>
    <w:rsid w:val="00185932"/>
    <w:rsid w:val="00187212"/>
    <w:rsid w:val="00192777"/>
    <w:rsid w:val="001B181D"/>
    <w:rsid w:val="001F24BA"/>
    <w:rsid w:val="002230EF"/>
    <w:rsid w:val="002434C3"/>
    <w:rsid w:val="002577DC"/>
    <w:rsid w:val="00257A0B"/>
    <w:rsid w:val="00295E1E"/>
    <w:rsid w:val="002D3601"/>
    <w:rsid w:val="00314791"/>
    <w:rsid w:val="00330E55"/>
    <w:rsid w:val="00331F94"/>
    <w:rsid w:val="0035216B"/>
    <w:rsid w:val="00397A7D"/>
    <w:rsid w:val="003D5108"/>
    <w:rsid w:val="003E5F1E"/>
    <w:rsid w:val="00400E02"/>
    <w:rsid w:val="0041069B"/>
    <w:rsid w:val="00415653"/>
    <w:rsid w:val="00445655"/>
    <w:rsid w:val="00446D1C"/>
    <w:rsid w:val="0045225A"/>
    <w:rsid w:val="00473757"/>
    <w:rsid w:val="004770EF"/>
    <w:rsid w:val="004A7925"/>
    <w:rsid w:val="004D4359"/>
    <w:rsid w:val="004F059B"/>
    <w:rsid w:val="005055DC"/>
    <w:rsid w:val="00511048"/>
    <w:rsid w:val="00517716"/>
    <w:rsid w:val="00522A4E"/>
    <w:rsid w:val="00560EA2"/>
    <w:rsid w:val="00574C17"/>
    <w:rsid w:val="005A556D"/>
    <w:rsid w:val="005E2DC1"/>
    <w:rsid w:val="005F668B"/>
    <w:rsid w:val="006178E1"/>
    <w:rsid w:val="006242E8"/>
    <w:rsid w:val="006262D3"/>
    <w:rsid w:val="00631B49"/>
    <w:rsid w:val="00632DCA"/>
    <w:rsid w:val="00635A21"/>
    <w:rsid w:val="00641B4D"/>
    <w:rsid w:val="006462D7"/>
    <w:rsid w:val="00654D96"/>
    <w:rsid w:val="00661049"/>
    <w:rsid w:val="00685E8F"/>
    <w:rsid w:val="00693D80"/>
    <w:rsid w:val="006B1120"/>
    <w:rsid w:val="006B7D18"/>
    <w:rsid w:val="006D2EA9"/>
    <w:rsid w:val="006D77EF"/>
    <w:rsid w:val="006E1970"/>
    <w:rsid w:val="006E34BE"/>
    <w:rsid w:val="00715314"/>
    <w:rsid w:val="007166C3"/>
    <w:rsid w:val="00722F4A"/>
    <w:rsid w:val="00744F0C"/>
    <w:rsid w:val="00747E5B"/>
    <w:rsid w:val="00752EEA"/>
    <w:rsid w:val="0075359D"/>
    <w:rsid w:val="00756EF3"/>
    <w:rsid w:val="00763B80"/>
    <w:rsid w:val="0076532A"/>
    <w:rsid w:val="0077736A"/>
    <w:rsid w:val="00794A74"/>
    <w:rsid w:val="007B0DE6"/>
    <w:rsid w:val="007B7B76"/>
    <w:rsid w:val="007C1EF8"/>
    <w:rsid w:val="007C4C5F"/>
    <w:rsid w:val="007D1C6B"/>
    <w:rsid w:val="007D788D"/>
    <w:rsid w:val="007F54BD"/>
    <w:rsid w:val="0080325C"/>
    <w:rsid w:val="008108F7"/>
    <w:rsid w:val="00842D81"/>
    <w:rsid w:val="0084513D"/>
    <w:rsid w:val="00856EB0"/>
    <w:rsid w:val="00860D5E"/>
    <w:rsid w:val="008627A7"/>
    <w:rsid w:val="008953F3"/>
    <w:rsid w:val="008959AC"/>
    <w:rsid w:val="008975C9"/>
    <w:rsid w:val="008C7B6C"/>
    <w:rsid w:val="008D6EEB"/>
    <w:rsid w:val="008E0538"/>
    <w:rsid w:val="008E352C"/>
    <w:rsid w:val="008E497E"/>
    <w:rsid w:val="008F0504"/>
    <w:rsid w:val="008F3E5D"/>
    <w:rsid w:val="009430C9"/>
    <w:rsid w:val="00946634"/>
    <w:rsid w:val="00971E5D"/>
    <w:rsid w:val="009815FA"/>
    <w:rsid w:val="009A223F"/>
    <w:rsid w:val="009A7135"/>
    <w:rsid w:val="009B5901"/>
    <w:rsid w:val="00A077F3"/>
    <w:rsid w:val="00A07F0F"/>
    <w:rsid w:val="00A60D0D"/>
    <w:rsid w:val="00A6156E"/>
    <w:rsid w:val="00A84793"/>
    <w:rsid w:val="00AA0504"/>
    <w:rsid w:val="00AC506C"/>
    <w:rsid w:val="00AE5F93"/>
    <w:rsid w:val="00AF1A27"/>
    <w:rsid w:val="00AF1ACA"/>
    <w:rsid w:val="00B15B02"/>
    <w:rsid w:val="00B20871"/>
    <w:rsid w:val="00B319F6"/>
    <w:rsid w:val="00B55CC4"/>
    <w:rsid w:val="00B65D0D"/>
    <w:rsid w:val="00B65FC8"/>
    <w:rsid w:val="00B7208C"/>
    <w:rsid w:val="00B8537D"/>
    <w:rsid w:val="00BB2365"/>
    <w:rsid w:val="00BD4234"/>
    <w:rsid w:val="00BE13DA"/>
    <w:rsid w:val="00BF08D6"/>
    <w:rsid w:val="00C2164B"/>
    <w:rsid w:val="00C35596"/>
    <w:rsid w:val="00C552C2"/>
    <w:rsid w:val="00CC604E"/>
    <w:rsid w:val="00CF47F5"/>
    <w:rsid w:val="00D01277"/>
    <w:rsid w:val="00D15FA7"/>
    <w:rsid w:val="00D4452A"/>
    <w:rsid w:val="00D7007F"/>
    <w:rsid w:val="00D7592C"/>
    <w:rsid w:val="00D76651"/>
    <w:rsid w:val="00DD34DC"/>
    <w:rsid w:val="00DE7393"/>
    <w:rsid w:val="00E00DCA"/>
    <w:rsid w:val="00E141A9"/>
    <w:rsid w:val="00E31E5E"/>
    <w:rsid w:val="00E471C9"/>
    <w:rsid w:val="00E62643"/>
    <w:rsid w:val="00E715C3"/>
    <w:rsid w:val="00E9402C"/>
    <w:rsid w:val="00E950D0"/>
    <w:rsid w:val="00EA4BF1"/>
    <w:rsid w:val="00EE5B5C"/>
    <w:rsid w:val="00EF11AF"/>
    <w:rsid w:val="00EF408F"/>
    <w:rsid w:val="00F15930"/>
    <w:rsid w:val="00F30B63"/>
    <w:rsid w:val="00F41C05"/>
    <w:rsid w:val="00F9083E"/>
    <w:rsid w:val="00F90F16"/>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6EEB"/>
  </w:style>
  <w:style w:type="paragraph" w:styleId="berschrift1">
    <w:name w:val="heading 1"/>
    <w:basedOn w:val="Standard"/>
    <w:next w:val="Standard"/>
    <w:link w:val="berschrift1Zchn"/>
    <w:uiPriority w:val="9"/>
    <w:qFormat/>
    <w:rsid w:val="008D6EEB"/>
    <w:pPr>
      <w:keepNext/>
      <w:keepLines/>
      <w:numPr>
        <w:numId w:val="3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D6EEB"/>
    <w:pPr>
      <w:keepNext/>
      <w:keepLines/>
      <w:numPr>
        <w:ilvl w:val="1"/>
        <w:numId w:val="3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D6EEB"/>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D6EEB"/>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D6EEB"/>
    <w:pPr>
      <w:keepNext/>
      <w:keepLines/>
      <w:numPr>
        <w:ilvl w:val="4"/>
        <w:numId w:val="39"/>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D6EEB"/>
    <w:pPr>
      <w:keepNext/>
      <w:keepLines/>
      <w:numPr>
        <w:ilvl w:val="5"/>
        <w:numId w:val="39"/>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D6EEB"/>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D6EEB"/>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D6EEB"/>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customStyle="1" w:styleId="berschrift1Zchn">
    <w:name w:val="Überschrift 1 Zchn"/>
    <w:basedOn w:val="Absatz-Standardschriftart"/>
    <w:link w:val="berschrift1"/>
    <w:uiPriority w:val="9"/>
    <w:rsid w:val="008D6EEB"/>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8D6EEB"/>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D6EE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D6EE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D6EEB"/>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D6EEB"/>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D6EE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D6EE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D6EE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D6EEB"/>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8D6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D6EEB"/>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D6EEB"/>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D6EEB"/>
    <w:rPr>
      <w:color w:val="5A5A5A" w:themeColor="text1" w:themeTint="A5"/>
      <w:spacing w:val="10"/>
    </w:rPr>
  </w:style>
  <w:style w:type="character" w:styleId="Fett">
    <w:name w:val="Strong"/>
    <w:basedOn w:val="Absatz-Standardschriftart"/>
    <w:uiPriority w:val="22"/>
    <w:qFormat/>
    <w:rsid w:val="008D6EEB"/>
    <w:rPr>
      <w:b/>
      <w:bCs/>
      <w:color w:val="000000" w:themeColor="text1"/>
    </w:rPr>
  </w:style>
  <w:style w:type="character" w:styleId="Hervorhebung">
    <w:name w:val="Emphasis"/>
    <w:basedOn w:val="Absatz-Standardschriftart"/>
    <w:uiPriority w:val="20"/>
    <w:qFormat/>
    <w:rsid w:val="008D6EEB"/>
    <w:rPr>
      <w:i/>
      <w:iCs/>
      <w:color w:val="auto"/>
    </w:rPr>
  </w:style>
  <w:style w:type="paragraph" w:styleId="KeinLeerraum">
    <w:name w:val="No Spacing"/>
    <w:uiPriority w:val="1"/>
    <w:qFormat/>
    <w:rsid w:val="008D6EEB"/>
    <w:pPr>
      <w:spacing w:after="0" w:line="240" w:lineRule="auto"/>
    </w:pPr>
  </w:style>
  <w:style w:type="paragraph" w:styleId="Zitat">
    <w:name w:val="Quote"/>
    <w:basedOn w:val="Standard"/>
    <w:next w:val="Standard"/>
    <w:link w:val="ZitatZchn"/>
    <w:uiPriority w:val="29"/>
    <w:qFormat/>
    <w:rsid w:val="008D6EEB"/>
    <w:pPr>
      <w:spacing w:before="160"/>
      <w:ind w:left="720" w:right="720"/>
    </w:pPr>
    <w:rPr>
      <w:i/>
      <w:iCs/>
      <w:color w:val="000000" w:themeColor="text1"/>
    </w:rPr>
  </w:style>
  <w:style w:type="character" w:customStyle="1" w:styleId="ZitatZchn">
    <w:name w:val="Zitat Zchn"/>
    <w:basedOn w:val="Absatz-Standardschriftart"/>
    <w:link w:val="Zitat"/>
    <w:uiPriority w:val="29"/>
    <w:rsid w:val="008D6EEB"/>
    <w:rPr>
      <w:i/>
      <w:iCs/>
      <w:color w:val="000000" w:themeColor="text1"/>
    </w:rPr>
  </w:style>
  <w:style w:type="paragraph" w:styleId="IntensivesZitat">
    <w:name w:val="Intense Quote"/>
    <w:basedOn w:val="Standard"/>
    <w:next w:val="Standard"/>
    <w:link w:val="IntensivesZitatZchn"/>
    <w:uiPriority w:val="30"/>
    <w:qFormat/>
    <w:rsid w:val="008D6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D6EE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D6EEB"/>
    <w:rPr>
      <w:i/>
      <w:iCs/>
      <w:color w:val="404040" w:themeColor="text1" w:themeTint="BF"/>
    </w:rPr>
  </w:style>
  <w:style w:type="character" w:styleId="IntensiveHervorhebung">
    <w:name w:val="Intense Emphasis"/>
    <w:basedOn w:val="Absatz-Standardschriftart"/>
    <w:uiPriority w:val="21"/>
    <w:qFormat/>
    <w:rsid w:val="008D6EEB"/>
    <w:rPr>
      <w:b/>
      <w:bCs/>
      <w:i/>
      <w:iCs/>
      <w:caps/>
    </w:rPr>
  </w:style>
  <w:style w:type="character" w:styleId="SchwacherVerweis">
    <w:name w:val="Subtle Reference"/>
    <w:basedOn w:val="Absatz-Standardschriftart"/>
    <w:uiPriority w:val="31"/>
    <w:qFormat/>
    <w:rsid w:val="008D6EE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D6EEB"/>
    <w:rPr>
      <w:b/>
      <w:bCs/>
      <w:smallCaps/>
      <w:u w:val="single"/>
    </w:rPr>
  </w:style>
  <w:style w:type="character" w:styleId="Buchtitel">
    <w:name w:val="Book Title"/>
    <w:basedOn w:val="Absatz-Standardschriftart"/>
    <w:uiPriority w:val="33"/>
    <w:qFormat/>
    <w:rsid w:val="008D6EEB"/>
    <w:rPr>
      <w:b w:val="0"/>
      <w:bCs w:val="0"/>
      <w:smallCaps/>
      <w:spacing w:val="5"/>
    </w:rPr>
  </w:style>
  <w:style w:type="paragraph" w:styleId="Inhaltsverzeichnisberschrift">
    <w:name w:val="TOC Heading"/>
    <w:basedOn w:val="berschrift1"/>
    <w:next w:val="Standard"/>
    <w:uiPriority w:val="39"/>
    <w:semiHidden/>
    <w:unhideWhenUsed/>
    <w:qFormat/>
    <w:rsid w:val="008D6EEB"/>
    <w:pPr>
      <w:outlineLvl w:val="9"/>
    </w:pPr>
  </w:style>
  <w:style w:type="character" w:styleId="Kommentarzeichen">
    <w:name w:val="annotation reference"/>
    <w:basedOn w:val="Absatz-Standardschriftart"/>
    <w:uiPriority w:val="99"/>
    <w:semiHidden/>
    <w:unhideWhenUsed/>
    <w:rsid w:val="008108F7"/>
    <w:rPr>
      <w:sz w:val="16"/>
      <w:szCs w:val="16"/>
    </w:rPr>
  </w:style>
  <w:style w:type="paragraph" w:styleId="Kommentartext">
    <w:name w:val="annotation text"/>
    <w:basedOn w:val="Standard"/>
    <w:link w:val="KommentartextZchn"/>
    <w:uiPriority w:val="99"/>
    <w:semiHidden/>
    <w:unhideWhenUsed/>
    <w:rsid w:val="008108F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08F7"/>
    <w:rPr>
      <w:sz w:val="20"/>
      <w:szCs w:val="20"/>
    </w:rPr>
  </w:style>
  <w:style w:type="paragraph" w:styleId="Kommentarthema">
    <w:name w:val="annotation subject"/>
    <w:basedOn w:val="Kommentartext"/>
    <w:next w:val="Kommentartext"/>
    <w:link w:val="KommentarthemaZchn"/>
    <w:uiPriority w:val="99"/>
    <w:semiHidden/>
    <w:unhideWhenUsed/>
    <w:rsid w:val="008108F7"/>
    <w:rPr>
      <w:b/>
      <w:bCs/>
    </w:rPr>
  </w:style>
  <w:style w:type="character" w:customStyle="1" w:styleId="KommentarthemaZchn">
    <w:name w:val="Kommentarthema Zchn"/>
    <w:basedOn w:val="KommentartextZchn"/>
    <w:link w:val="Kommentarthema"/>
    <w:uiPriority w:val="99"/>
    <w:semiHidden/>
    <w:rsid w:val="008108F7"/>
    <w:rPr>
      <w:b/>
      <w:bCs/>
      <w:sz w:val="20"/>
      <w:szCs w:val="20"/>
    </w:rPr>
  </w:style>
  <w:style w:type="paragraph" w:styleId="berarbeitung">
    <w:name w:val="Revision"/>
    <w:hidden/>
    <w:uiPriority w:val="99"/>
    <w:semiHidden/>
    <w:rsid w:val="009430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9436">
      <w:bodyDiv w:val="1"/>
      <w:marLeft w:val="0"/>
      <w:marRight w:val="0"/>
      <w:marTop w:val="0"/>
      <w:marBottom w:val="0"/>
      <w:divBdr>
        <w:top w:val="none" w:sz="0" w:space="0" w:color="auto"/>
        <w:left w:val="none" w:sz="0" w:space="0" w:color="auto"/>
        <w:bottom w:val="none" w:sz="0" w:space="0" w:color="auto"/>
        <w:right w:val="none" w:sz="0" w:space="0" w:color="auto"/>
      </w:divBdr>
      <w:divsChild>
        <w:div w:id="364210948">
          <w:marLeft w:val="0"/>
          <w:marRight w:val="0"/>
          <w:marTop w:val="0"/>
          <w:marBottom w:val="0"/>
          <w:divBdr>
            <w:top w:val="none" w:sz="0" w:space="0" w:color="auto"/>
            <w:left w:val="none" w:sz="0" w:space="0" w:color="auto"/>
            <w:bottom w:val="none" w:sz="0" w:space="0" w:color="auto"/>
            <w:right w:val="none" w:sz="0" w:space="0" w:color="auto"/>
          </w:divBdr>
          <w:divsChild>
            <w:div w:id="1561283084">
              <w:marLeft w:val="0"/>
              <w:marRight w:val="0"/>
              <w:marTop w:val="0"/>
              <w:marBottom w:val="0"/>
              <w:divBdr>
                <w:top w:val="none" w:sz="0" w:space="0" w:color="auto"/>
                <w:left w:val="none" w:sz="0" w:space="0" w:color="auto"/>
                <w:bottom w:val="none" w:sz="0" w:space="0" w:color="auto"/>
                <w:right w:val="none" w:sz="0" w:space="0" w:color="auto"/>
              </w:divBdr>
            </w:div>
            <w:div w:id="1472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290">
      <w:bodyDiv w:val="1"/>
      <w:marLeft w:val="0"/>
      <w:marRight w:val="0"/>
      <w:marTop w:val="0"/>
      <w:marBottom w:val="0"/>
      <w:divBdr>
        <w:top w:val="none" w:sz="0" w:space="0" w:color="auto"/>
        <w:left w:val="none" w:sz="0" w:space="0" w:color="auto"/>
        <w:bottom w:val="none" w:sz="0" w:space="0" w:color="auto"/>
        <w:right w:val="none" w:sz="0" w:space="0" w:color="auto"/>
      </w:divBdr>
      <w:divsChild>
        <w:div w:id="1486124501">
          <w:marLeft w:val="0"/>
          <w:marRight w:val="0"/>
          <w:marTop w:val="0"/>
          <w:marBottom w:val="0"/>
          <w:divBdr>
            <w:top w:val="none" w:sz="0" w:space="0" w:color="auto"/>
            <w:left w:val="none" w:sz="0" w:space="0" w:color="auto"/>
            <w:bottom w:val="none" w:sz="0" w:space="0" w:color="auto"/>
            <w:right w:val="none" w:sz="0" w:space="0" w:color="auto"/>
          </w:divBdr>
          <w:divsChild>
            <w:div w:id="361051847">
              <w:marLeft w:val="0"/>
              <w:marRight w:val="0"/>
              <w:marTop w:val="0"/>
              <w:marBottom w:val="0"/>
              <w:divBdr>
                <w:top w:val="none" w:sz="0" w:space="0" w:color="auto"/>
                <w:left w:val="none" w:sz="0" w:space="0" w:color="auto"/>
                <w:bottom w:val="none" w:sz="0" w:space="0" w:color="auto"/>
                <w:right w:val="none" w:sz="0" w:space="0" w:color="auto"/>
              </w:divBdr>
            </w:div>
            <w:div w:id="1037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928">
      <w:bodyDiv w:val="1"/>
      <w:marLeft w:val="0"/>
      <w:marRight w:val="0"/>
      <w:marTop w:val="0"/>
      <w:marBottom w:val="0"/>
      <w:divBdr>
        <w:top w:val="none" w:sz="0" w:space="0" w:color="auto"/>
        <w:left w:val="none" w:sz="0" w:space="0" w:color="auto"/>
        <w:bottom w:val="none" w:sz="0" w:space="0" w:color="auto"/>
        <w:right w:val="none" w:sz="0" w:space="0" w:color="auto"/>
      </w:divBdr>
      <w:divsChild>
        <w:div w:id="1863204649">
          <w:marLeft w:val="0"/>
          <w:marRight w:val="0"/>
          <w:marTop w:val="0"/>
          <w:marBottom w:val="0"/>
          <w:divBdr>
            <w:top w:val="none" w:sz="0" w:space="0" w:color="auto"/>
            <w:left w:val="none" w:sz="0" w:space="0" w:color="auto"/>
            <w:bottom w:val="none" w:sz="0" w:space="0" w:color="auto"/>
            <w:right w:val="none" w:sz="0" w:space="0" w:color="auto"/>
          </w:divBdr>
        </w:div>
      </w:divsChild>
    </w:div>
    <w:div w:id="876696674">
      <w:bodyDiv w:val="1"/>
      <w:marLeft w:val="0"/>
      <w:marRight w:val="0"/>
      <w:marTop w:val="0"/>
      <w:marBottom w:val="0"/>
      <w:divBdr>
        <w:top w:val="none" w:sz="0" w:space="0" w:color="auto"/>
        <w:left w:val="none" w:sz="0" w:space="0" w:color="auto"/>
        <w:bottom w:val="none" w:sz="0" w:space="0" w:color="auto"/>
        <w:right w:val="none" w:sz="0" w:space="0" w:color="auto"/>
      </w:divBdr>
      <w:divsChild>
        <w:div w:id="1277641510">
          <w:marLeft w:val="0"/>
          <w:marRight w:val="0"/>
          <w:marTop w:val="0"/>
          <w:marBottom w:val="0"/>
          <w:divBdr>
            <w:top w:val="none" w:sz="0" w:space="0" w:color="auto"/>
            <w:left w:val="none" w:sz="0" w:space="0" w:color="auto"/>
            <w:bottom w:val="none" w:sz="0" w:space="0" w:color="auto"/>
            <w:right w:val="none" w:sz="0" w:space="0" w:color="auto"/>
          </w:divBdr>
        </w:div>
      </w:divsChild>
    </w:div>
    <w:div w:id="899753299">
      <w:bodyDiv w:val="1"/>
      <w:marLeft w:val="0"/>
      <w:marRight w:val="0"/>
      <w:marTop w:val="0"/>
      <w:marBottom w:val="0"/>
      <w:divBdr>
        <w:top w:val="none" w:sz="0" w:space="0" w:color="auto"/>
        <w:left w:val="none" w:sz="0" w:space="0" w:color="auto"/>
        <w:bottom w:val="none" w:sz="0" w:space="0" w:color="auto"/>
        <w:right w:val="none" w:sz="0" w:space="0" w:color="auto"/>
      </w:divBdr>
      <w:divsChild>
        <w:div w:id="99302869">
          <w:marLeft w:val="0"/>
          <w:marRight w:val="0"/>
          <w:marTop w:val="0"/>
          <w:marBottom w:val="0"/>
          <w:divBdr>
            <w:top w:val="none" w:sz="0" w:space="0" w:color="auto"/>
            <w:left w:val="none" w:sz="0" w:space="0" w:color="auto"/>
            <w:bottom w:val="none" w:sz="0" w:space="0" w:color="auto"/>
            <w:right w:val="none" w:sz="0" w:space="0" w:color="auto"/>
          </w:divBdr>
          <w:divsChild>
            <w:div w:id="509486339">
              <w:marLeft w:val="0"/>
              <w:marRight w:val="0"/>
              <w:marTop w:val="0"/>
              <w:marBottom w:val="0"/>
              <w:divBdr>
                <w:top w:val="none" w:sz="0" w:space="0" w:color="auto"/>
                <w:left w:val="none" w:sz="0" w:space="0" w:color="auto"/>
                <w:bottom w:val="none" w:sz="0" w:space="0" w:color="auto"/>
                <w:right w:val="none" w:sz="0" w:space="0" w:color="auto"/>
              </w:divBdr>
            </w:div>
          </w:divsChild>
        </w:div>
        <w:div w:id="1336155716">
          <w:marLeft w:val="0"/>
          <w:marRight w:val="0"/>
          <w:marTop w:val="0"/>
          <w:marBottom w:val="0"/>
          <w:divBdr>
            <w:top w:val="none" w:sz="0" w:space="0" w:color="auto"/>
            <w:left w:val="none" w:sz="0" w:space="0" w:color="auto"/>
            <w:bottom w:val="none" w:sz="0" w:space="0" w:color="auto"/>
            <w:right w:val="none" w:sz="0" w:space="0" w:color="auto"/>
          </w:divBdr>
        </w:div>
      </w:divsChild>
    </w:div>
    <w:div w:id="1025402160">
      <w:bodyDiv w:val="1"/>
      <w:marLeft w:val="0"/>
      <w:marRight w:val="0"/>
      <w:marTop w:val="0"/>
      <w:marBottom w:val="0"/>
      <w:divBdr>
        <w:top w:val="none" w:sz="0" w:space="0" w:color="auto"/>
        <w:left w:val="none" w:sz="0" w:space="0" w:color="auto"/>
        <w:bottom w:val="none" w:sz="0" w:space="0" w:color="auto"/>
        <w:right w:val="none" w:sz="0" w:space="0" w:color="auto"/>
      </w:divBdr>
      <w:divsChild>
        <w:div w:id="1819036826">
          <w:marLeft w:val="0"/>
          <w:marRight w:val="0"/>
          <w:marTop w:val="0"/>
          <w:marBottom w:val="0"/>
          <w:divBdr>
            <w:top w:val="none" w:sz="0" w:space="0" w:color="auto"/>
            <w:left w:val="none" w:sz="0" w:space="0" w:color="auto"/>
            <w:bottom w:val="none" w:sz="0" w:space="0" w:color="auto"/>
            <w:right w:val="none" w:sz="0" w:space="0" w:color="auto"/>
          </w:divBdr>
          <w:divsChild>
            <w:div w:id="1731267834">
              <w:marLeft w:val="0"/>
              <w:marRight w:val="0"/>
              <w:marTop w:val="0"/>
              <w:marBottom w:val="0"/>
              <w:divBdr>
                <w:top w:val="none" w:sz="0" w:space="0" w:color="auto"/>
                <w:left w:val="none" w:sz="0" w:space="0" w:color="auto"/>
                <w:bottom w:val="none" w:sz="0" w:space="0" w:color="auto"/>
                <w:right w:val="none" w:sz="0" w:space="0" w:color="auto"/>
              </w:divBdr>
            </w:div>
          </w:divsChild>
        </w:div>
        <w:div w:id="1520390715">
          <w:marLeft w:val="0"/>
          <w:marRight w:val="0"/>
          <w:marTop w:val="0"/>
          <w:marBottom w:val="0"/>
          <w:divBdr>
            <w:top w:val="none" w:sz="0" w:space="0" w:color="auto"/>
            <w:left w:val="none" w:sz="0" w:space="0" w:color="auto"/>
            <w:bottom w:val="none" w:sz="0" w:space="0" w:color="auto"/>
            <w:right w:val="none" w:sz="0" w:space="0" w:color="auto"/>
          </w:divBdr>
        </w:div>
      </w:divsChild>
    </w:div>
    <w:div w:id="1428650998">
      <w:bodyDiv w:val="1"/>
      <w:marLeft w:val="0"/>
      <w:marRight w:val="0"/>
      <w:marTop w:val="0"/>
      <w:marBottom w:val="0"/>
      <w:divBdr>
        <w:top w:val="none" w:sz="0" w:space="0" w:color="auto"/>
        <w:left w:val="none" w:sz="0" w:space="0" w:color="auto"/>
        <w:bottom w:val="none" w:sz="0" w:space="0" w:color="auto"/>
        <w:right w:val="none" w:sz="0" w:space="0" w:color="auto"/>
      </w:divBdr>
      <w:divsChild>
        <w:div w:id="1458181360">
          <w:marLeft w:val="0"/>
          <w:marRight w:val="0"/>
          <w:marTop w:val="0"/>
          <w:marBottom w:val="0"/>
          <w:divBdr>
            <w:top w:val="none" w:sz="0" w:space="0" w:color="auto"/>
            <w:left w:val="none" w:sz="0" w:space="0" w:color="auto"/>
            <w:bottom w:val="none" w:sz="0" w:space="0" w:color="auto"/>
            <w:right w:val="none" w:sz="0" w:space="0" w:color="auto"/>
          </w:divBdr>
          <w:divsChild>
            <w:div w:id="2083915754">
              <w:marLeft w:val="0"/>
              <w:marRight w:val="0"/>
              <w:marTop w:val="0"/>
              <w:marBottom w:val="0"/>
              <w:divBdr>
                <w:top w:val="none" w:sz="0" w:space="0" w:color="auto"/>
                <w:left w:val="none" w:sz="0" w:space="0" w:color="auto"/>
                <w:bottom w:val="none" w:sz="0" w:space="0" w:color="auto"/>
                <w:right w:val="none" w:sz="0" w:space="0" w:color="auto"/>
              </w:divBdr>
            </w:div>
            <w:div w:id="19217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9200">
      <w:bodyDiv w:val="1"/>
      <w:marLeft w:val="0"/>
      <w:marRight w:val="0"/>
      <w:marTop w:val="0"/>
      <w:marBottom w:val="0"/>
      <w:divBdr>
        <w:top w:val="none" w:sz="0" w:space="0" w:color="auto"/>
        <w:left w:val="none" w:sz="0" w:space="0" w:color="auto"/>
        <w:bottom w:val="none" w:sz="0" w:space="0" w:color="auto"/>
        <w:right w:val="none" w:sz="0" w:space="0" w:color="auto"/>
      </w:divBdr>
      <w:divsChild>
        <w:div w:id="1658219860">
          <w:marLeft w:val="0"/>
          <w:marRight w:val="0"/>
          <w:marTop w:val="0"/>
          <w:marBottom w:val="0"/>
          <w:divBdr>
            <w:top w:val="none" w:sz="0" w:space="0" w:color="auto"/>
            <w:left w:val="none" w:sz="0" w:space="0" w:color="auto"/>
            <w:bottom w:val="none" w:sz="0" w:space="0" w:color="auto"/>
            <w:right w:val="none" w:sz="0" w:space="0" w:color="auto"/>
          </w:divBdr>
          <w:divsChild>
            <w:div w:id="1443453334">
              <w:marLeft w:val="0"/>
              <w:marRight w:val="0"/>
              <w:marTop w:val="0"/>
              <w:marBottom w:val="0"/>
              <w:divBdr>
                <w:top w:val="none" w:sz="0" w:space="0" w:color="auto"/>
                <w:left w:val="none" w:sz="0" w:space="0" w:color="auto"/>
                <w:bottom w:val="none" w:sz="0" w:space="0" w:color="auto"/>
                <w:right w:val="none" w:sz="0" w:space="0" w:color="auto"/>
              </w:divBdr>
            </w:div>
          </w:divsChild>
        </w:div>
        <w:div w:id="1685814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09D7-FD0A-4974-ABC6-004071EB8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1505</Words>
  <Characters>9483</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23</cp:revision>
  <cp:lastPrinted>2022-02-22T10:10:00Z</cp:lastPrinted>
  <dcterms:created xsi:type="dcterms:W3CDTF">2022-11-02T14:17:00Z</dcterms:created>
  <dcterms:modified xsi:type="dcterms:W3CDTF">2022-11-22T13:49:00Z</dcterms:modified>
</cp:coreProperties>
</file>