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28F4" w14:textId="77777777" w:rsidR="00D62DE4" w:rsidRPr="007D16DF" w:rsidRDefault="00D62DE4" w:rsidP="00D62DE4">
      <w:pPr>
        <w:jc w:val="both"/>
        <w:rPr>
          <w:rFonts w:ascii="Open Sans" w:hAnsi="Open Sans" w:cs="Open Sans"/>
          <w:b/>
          <w:bCs/>
          <w:sz w:val="36"/>
          <w:szCs w:val="36"/>
        </w:rPr>
      </w:pPr>
      <w:bookmarkStart w:id="0" w:name="header"/>
      <w:r w:rsidRPr="007D16DF">
        <w:rPr>
          <w:rFonts w:ascii="Open Sans" w:hAnsi="Open Sans" w:cs="Open Sans"/>
          <w:b/>
          <w:bCs/>
          <w:sz w:val="36"/>
          <w:szCs w:val="36"/>
        </w:rPr>
        <w:t>§ 25 I Alt. 2 StGB – Mittelbare Täterschaft</w:t>
      </w:r>
    </w:p>
    <w:bookmarkEnd w:id="0"/>
    <w:p w14:paraId="45E43FC9" w14:textId="5007893A" w:rsidR="00715314" w:rsidRPr="00E3590A" w:rsidRDefault="00715314" w:rsidP="00715314">
      <w:pPr>
        <w:pStyle w:val="SchemaDefinitionenHeader"/>
        <w:rPr>
          <w:color w:val="BFBFBF" w:themeColor="background1" w:themeShade="BF"/>
        </w:rPr>
      </w:pPr>
      <w:r w:rsidRPr="00E3590A">
        <w:rPr>
          <w:color w:val="BFBFBF" w:themeColor="background1" w:themeShade="BF"/>
        </w:rPr>
        <w:t>Kurzschema</w:t>
      </w:r>
    </w:p>
    <w:p w14:paraId="1D18C97C" w14:textId="77777777" w:rsidR="00715314" w:rsidRPr="007D16DF" w:rsidRDefault="00715314" w:rsidP="00715314">
      <w:pPr>
        <w:pStyle w:val="SchemaDefinitionenHeader"/>
        <w:rPr>
          <w:color w:val="auto"/>
        </w:rPr>
      </w:pPr>
    </w:p>
    <w:p w14:paraId="351373B4" w14:textId="3BD1FF67" w:rsidR="00715314" w:rsidRPr="007D16DF" w:rsidRDefault="00D62DE4" w:rsidP="00715314">
      <w:pPr>
        <w:pStyle w:val="SchemaDefinitionenHeader"/>
        <w:numPr>
          <w:ilvl w:val="0"/>
          <w:numId w:val="1"/>
        </w:numPr>
        <w:ind w:left="720"/>
        <w:rPr>
          <w:rStyle w:val="Hyperlink"/>
          <w:b/>
          <w:bCs/>
          <w:color w:val="auto"/>
          <w:sz w:val="18"/>
          <w:szCs w:val="18"/>
          <w:u w:val="none"/>
        </w:rPr>
      </w:pPr>
      <w:r w:rsidRPr="007D16DF">
        <w:rPr>
          <w:b/>
          <w:bCs/>
          <w:color w:val="auto"/>
          <w:sz w:val="18"/>
          <w:szCs w:val="18"/>
        </w:rPr>
        <w:fldChar w:fldCharType="begin"/>
      </w:r>
      <w:r w:rsidRPr="007D16DF">
        <w:rPr>
          <w:b/>
          <w:bCs/>
          <w:color w:val="auto"/>
          <w:sz w:val="18"/>
          <w:szCs w:val="18"/>
        </w:rPr>
        <w:instrText xml:space="preserve"> HYPERLINK  \l "Tatbestand" </w:instrText>
      </w:r>
      <w:r w:rsidRPr="007D16DF">
        <w:rPr>
          <w:b/>
          <w:bCs/>
          <w:color w:val="auto"/>
          <w:sz w:val="18"/>
          <w:szCs w:val="18"/>
        </w:rPr>
      </w:r>
      <w:r w:rsidRPr="007D16DF">
        <w:rPr>
          <w:b/>
          <w:bCs/>
          <w:color w:val="auto"/>
          <w:sz w:val="18"/>
          <w:szCs w:val="18"/>
        </w:rPr>
        <w:fldChar w:fldCharType="separate"/>
      </w:r>
      <w:r w:rsidR="00715314" w:rsidRPr="007D16DF">
        <w:rPr>
          <w:rStyle w:val="Hyperlink"/>
          <w:b/>
          <w:bCs/>
          <w:color w:val="auto"/>
          <w:sz w:val="18"/>
          <w:szCs w:val="18"/>
          <w:u w:val="none"/>
        </w:rPr>
        <w:t>Tatbestand</w:t>
      </w:r>
    </w:p>
    <w:p w14:paraId="464A8267" w14:textId="6DF890DF" w:rsidR="00715314" w:rsidRPr="007D16DF" w:rsidRDefault="00D62DE4" w:rsidP="00715314">
      <w:pPr>
        <w:pStyle w:val="SchemaDefinitionenHeader"/>
        <w:numPr>
          <w:ilvl w:val="0"/>
          <w:numId w:val="2"/>
        </w:numPr>
        <w:ind w:left="1080"/>
        <w:rPr>
          <w:rStyle w:val="Hyperlink"/>
          <w:b/>
          <w:bCs/>
          <w:color w:val="auto"/>
          <w:sz w:val="18"/>
          <w:szCs w:val="18"/>
          <w:u w:val="none"/>
        </w:rPr>
      </w:pPr>
      <w:r w:rsidRPr="007D16DF">
        <w:rPr>
          <w:b/>
          <w:bCs/>
          <w:color w:val="auto"/>
          <w:sz w:val="18"/>
          <w:szCs w:val="18"/>
        </w:rPr>
        <w:fldChar w:fldCharType="end"/>
      </w:r>
      <w:r w:rsidRPr="007D16DF">
        <w:rPr>
          <w:b/>
          <w:bCs/>
          <w:color w:val="auto"/>
          <w:sz w:val="18"/>
          <w:szCs w:val="18"/>
        </w:rPr>
        <w:fldChar w:fldCharType="begin"/>
      </w:r>
      <w:r w:rsidRPr="007D16DF">
        <w:rPr>
          <w:b/>
          <w:bCs/>
          <w:color w:val="auto"/>
          <w:sz w:val="18"/>
          <w:szCs w:val="18"/>
        </w:rPr>
        <w:instrText xml:space="preserve"> HYPERLINK  \l "Obj_TB" </w:instrText>
      </w:r>
      <w:r w:rsidRPr="007D16DF">
        <w:rPr>
          <w:b/>
          <w:bCs/>
          <w:color w:val="auto"/>
          <w:sz w:val="18"/>
          <w:szCs w:val="18"/>
        </w:rPr>
      </w:r>
      <w:r w:rsidRPr="007D16DF">
        <w:rPr>
          <w:b/>
          <w:bCs/>
          <w:color w:val="auto"/>
          <w:sz w:val="18"/>
          <w:szCs w:val="18"/>
        </w:rPr>
        <w:fldChar w:fldCharType="separate"/>
      </w:r>
      <w:r w:rsidR="00715314" w:rsidRPr="007D16DF">
        <w:rPr>
          <w:rStyle w:val="Hyperlink"/>
          <w:b/>
          <w:bCs/>
          <w:color w:val="auto"/>
          <w:sz w:val="18"/>
          <w:szCs w:val="18"/>
          <w:u w:val="none"/>
        </w:rPr>
        <w:t>Objektiver Tatbestand</w:t>
      </w:r>
    </w:p>
    <w:p w14:paraId="48979A91" w14:textId="103C25B8" w:rsidR="006539CC" w:rsidRPr="007D16DF" w:rsidRDefault="00D62DE4" w:rsidP="006539CC">
      <w:pPr>
        <w:pStyle w:val="SchemaDefinitionenHeader"/>
        <w:numPr>
          <w:ilvl w:val="1"/>
          <w:numId w:val="2"/>
        </w:numPr>
        <w:ind w:left="1800"/>
        <w:rPr>
          <w:i/>
          <w:iCs/>
          <w:color w:val="auto"/>
          <w:sz w:val="18"/>
          <w:szCs w:val="18"/>
        </w:rPr>
      </w:pPr>
      <w:r w:rsidRPr="007D16DF">
        <w:rPr>
          <w:b/>
          <w:bCs/>
          <w:color w:val="auto"/>
          <w:sz w:val="18"/>
          <w:szCs w:val="18"/>
        </w:rPr>
        <w:fldChar w:fldCharType="end"/>
      </w:r>
      <w:hyperlink w:anchor="Nicht_alle" w:history="1">
        <w:r w:rsidR="006539CC" w:rsidRPr="007D16DF">
          <w:rPr>
            <w:rStyle w:val="Hyperlink"/>
            <w:i/>
            <w:iCs/>
            <w:color w:val="auto"/>
            <w:sz w:val="18"/>
            <w:szCs w:val="18"/>
            <w:u w:val="none"/>
          </w:rPr>
          <w:t>Nicht alle Tatbestandsmerkmale in eigener Person nach § 25 I Alt. 1 StGB verwirklicht</w:t>
        </w:r>
      </w:hyperlink>
    </w:p>
    <w:p w14:paraId="7B11884F" w14:textId="2540C815" w:rsidR="006539CC" w:rsidRPr="007D16DF" w:rsidRDefault="00000000" w:rsidP="006539CC">
      <w:pPr>
        <w:pStyle w:val="SchemaDefinitionenHeader"/>
        <w:numPr>
          <w:ilvl w:val="1"/>
          <w:numId w:val="2"/>
        </w:numPr>
        <w:ind w:left="1800"/>
        <w:rPr>
          <w:i/>
          <w:iCs/>
          <w:color w:val="auto"/>
          <w:sz w:val="18"/>
          <w:szCs w:val="18"/>
        </w:rPr>
      </w:pPr>
      <w:hyperlink w:anchor="Mitt_TS" w:history="1">
        <w:r w:rsidR="006539CC" w:rsidRPr="007D16DF">
          <w:rPr>
            <w:rStyle w:val="Hyperlink"/>
            <w:i/>
            <w:iCs/>
            <w:color w:val="auto"/>
            <w:sz w:val="18"/>
            <w:szCs w:val="18"/>
            <w:u w:val="none"/>
          </w:rPr>
          <w:t>Mittelbare Täterschaft darf nicht ausgeschlossen sein (Täterqualität)</w:t>
        </w:r>
      </w:hyperlink>
    </w:p>
    <w:p w14:paraId="1D385247" w14:textId="1A3895AE" w:rsidR="006539CC" w:rsidRPr="007D16DF" w:rsidRDefault="00000000" w:rsidP="006539CC">
      <w:pPr>
        <w:pStyle w:val="SchemaDefinitionenHeader"/>
        <w:numPr>
          <w:ilvl w:val="1"/>
          <w:numId w:val="2"/>
        </w:numPr>
        <w:ind w:left="1800"/>
        <w:rPr>
          <w:i/>
          <w:iCs/>
          <w:color w:val="auto"/>
          <w:sz w:val="18"/>
          <w:szCs w:val="18"/>
        </w:rPr>
      </w:pPr>
      <w:hyperlink w:anchor="Erfolgseintritt" w:history="1">
        <w:r w:rsidR="006539CC" w:rsidRPr="007D16DF">
          <w:rPr>
            <w:rStyle w:val="Hyperlink"/>
            <w:i/>
            <w:iCs/>
            <w:color w:val="auto"/>
            <w:sz w:val="18"/>
            <w:szCs w:val="18"/>
            <w:u w:val="none"/>
          </w:rPr>
          <w:t>Erfolgseintritt</w:t>
        </w:r>
      </w:hyperlink>
    </w:p>
    <w:p w14:paraId="14B936ED" w14:textId="2B30AC95" w:rsidR="006539CC" w:rsidRPr="007D16DF" w:rsidRDefault="00000000" w:rsidP="006539CC">
      <w:pPr>
        <w:pStyle w:val="SchemaDefinitionenHeader"/>
        <w:numPr>
          <w:ilvl w:val="1"/>
          <w:numId w:val="2"/>
        </w:numPr>
        <w:ind w:left="1800"/>
        <w:rPr>
          <w:i/>
          <w:iCs/>
          <w:color w:val="auto"/>
          <w:sz w:val="18"/>
          <w:szCs w:val="18"/>
        </w:rPr>
      </w:pPr>
      <w:hyperlink w:anchor="Einwirkungshandlung" w:history="1">
        <w:r w:rsidR="006539CC" w:rsidRPr="007D16DF">
          <w:rPr>
            <w:rStyle w:val="Hyperlink"/>
            <w:i/>
            <w:iCs/>
            <w:color w:val="auto"/>
            <w:sz w:val="18"/>
            <w:szCs w:val="18"/>
            <w:u w:val="none"/>
          </w:rPr>
          <w:t>Einwirkungshandlung des Hintermanns (mittelbarer Täter) auf den Vordermann (Tatnächster / Tatnäherer)</w:t>
        </w:r>
      </w:hyperlink>
    </w:p>
    <w:p w14:paraId="207CE05E" w14:textId="5BA7629A" w:rsidR="006539CC" w:rsidRPr="007D16DF" w:rsidRDefault="00000000" w:rsidP="006539CC">
      <w:pPr>
        <w:pStyle w:val="SchemaDefinitionenHeader"/>
        <w:numPr>
          <w:ilvl w:val="1"/>
          <w:numId w:val="2"/>
        </w:numPr>
        <w:ind w:left="1800"/>
        <w:rPr>
          <w:i/>
          <w:iCs/>
          <w:color w:val="auto"/>
          <w:sz w:val="18"/>
          <w:szCs w:val="18"/>
        </w:rPr>
      </w:pPr>
      <w:hyperlink w:anchor="Strafbarkeitsbegründung" w:history="1">
        <w:r w:rsidR="006539CC" w:rsidRPr="007D16DF">
          <w:rPr>
            <w:rStyle w:val="Hyperlink"/>
            <w:i/>
            <w:iCs/>
            <w:color w:val="auto"/>
            <w:sz w:val="18"/>
            <w:szCs w:val="18"/>
            <w:u w:val="none"/>
          </w:rPr>
          <w:t>Strafbarkeitsbegründung der Einwirkungshandlung</w:t>
        </w:r>
      </w:hyperlink>
    </w:p>
    <w:p w14:paraId="71B82773" w14:textId="7C644B31" w:rsidR="006539CC" w:rsidRPr="007D16DF" w:rsidRDefault="00000000" w:rsidP="006539CC">
      <w:pPr>
        <w:pStyle w:val="SchemaDefinitionenHeader"/>
        <w:numPr>
          <w:ilvl w:val="0"/>
          <w:numId w:val="4"/>
        </w:numPr>
        <w:ind w:left="2700"/>
        <w:rPr>
          <w:i/>
          <w:iCs/>
          <w:color w:val="auto"/>
          <w:sz w:val="18"/>
          <w:szCs w:val="18"/>
        </w:rPr>
      </w:pPr>
      <w:hyperlink w:anchor="Strafbarkeitsmangel" w:history="1">
        <w:r w:rsidR="006539CC" w:rsidRPr="007D16DF">
          <w:rPr>
            <w:rStyle w:val="Hyperlink"/>
            <w:i/>
            <w:iCs/>
            <w:color w:val="auto"/>
            <w:sz w:val="18"/>
            <w:szCs w:val="18"/>
            <w:u w:val="none"/>
          </w:rPr>
          <w:t>Strafbarkeitsmangel beim Vordermann</w:t>
        </w:r>
      </w:hyperlink>
    </w:p>
    <w:p w14:paraId="4CF42BAC" w14:textId="419FE136" w:rsidR="006539CC" w:rsidRPr="007D16DF" w:rsidRDefault="006539CC" w:rsidP="00582E31">
      <w:pPr>
        <w:pStyle w:val="SchemaDefinitionenHeader"/>
        <w:numPr>
          <w:ilvl w:val="0"/>
          <w:numId w:val="31"/>
        </w:numPr>
        <w:rPr>
          <w:iCs/>
          <w:color w:val="auto"/>
          <w:sz w:val="18"/>
          <w:szCs w:val="18"/>
        </w:rPr>
      </w:pPr>
      <w:r w:rsidRPr="007D16DF">
        <w:rPr>
          <w:iCs/>
          <w:color w:val="auto"/>
          <w:sz w:val="18"/>
          <w:szCs w:val="18"/>
        </w:rPr>
        <w:t>Tatbestandslos</w:t>
      </w:r>
    </w:p>
    <w:p w14:paraId="0D0131B4" w14:textId="23068BF3" w:rsidR="006539CC" w:rsidRPr="007D16DF" w:rsidRDefault="006539CC" w:rsidP="00582E31">
      <w:pPr>
        <w:pStyle w:val="SchemaDefinitionenHeader"/>
        <w:numPr>
          <w:ilvl w:val="0"/>
          <w:numId w:val="31"/>
        </w:numPr>
        <w:rPr>
          <w:iCs/>
          <w:color w:val="auto"/>
          <w:sz w:val="18"/>
          <w:szCs w:val="18"/>
        </w:rPr>
      </w:pPr>
      <w:r w:rsidRPr="007D16DF">
        <w:rPr>
          <w:iCs/>
          <w:color w:val="auto"/>
          <w:sz w:val="18"/>
          <w:szCs w:val="18"/>
        </w:rPr>
        <w:t>Vorsatzlos oder absichtslos</w:t>
      </w:r>
    </w:p>
    <w:p w14:paraId="4D33A897" w14:textId="1D26A69E" w:rsidR="006539CC" w:rsidRPr="007D16DF" w:rsidRDefault="006539CC" w:rsidP="00582E31">
      <w:pPr>
        <w:pStyle w:val="SchemaDefinitionenHeader"/>
        <w:numPr>
          <w:ilvl w:val="0"/>
          <w:numId w:val="31"/>
        </w:numPr>
        <w:rPr>
          <w:iCs/>
          <w:color w:val="auto"/>
          <w:sz w:val="18"/>
          <w:szCs w:val="18"/>
        </w:rPr>
      </w:pPr>
      <w:r w:rsidRPr="007D16DF">
        <w:rPr>
          <w:iCs/>
          <w:color w:val="auto"/>
          <w:sz w:val="18"/>
          <w:szCs w:val="18"/>
        </w:rPr>
        <w:t>Nicht rechtswidrig</w:t>
      </w:r>
    </w:p>
    <w:p w14:paraId="28C2F1A2" w14:textId="769962FA" w:rsidR="006539CC" w:rsidRPr="007D16DF" w:rsidRDefault="006539CC" w:rsidP="00582E31">
      <w:pPr>
        <w:pStyle w:val="SchemaDefinitionenHeader"/>
        <w:numPr>
          <w:ilvl w:val="0"/>
          <w:numId w:val="31"/>
        </w:numPr>
        <w:rPr>
          <w:iCs/>
          <w:color w:val="auto"/>
          <w:sz w:val="18"/>
          <w:szCs w:val="18"/>
        </w:rPr>
      </w:pPr>
      <w:r w:rsidRPr="007D16DF">
        <w:rPr>
          <w:iCs/>
          <w:color w:val="auto"/>
          <w:sz w:val="18"/>
          <w:szCs w:val="18"/>
        </w:rPr>
        <w:t>Schuldlos bzw. vermindert schuldfähig</w:t>
      </w:r>
    </w:p>
    <w:p w14:paraId="0F55D6FC" w14:textId="18CEA011" w:rsidR="002773C6" w:rsidRPr="007D16DF" w:rsidRDefault="002773C6" w:rsidP="006539CC">
      <w:pPr>
        <w:pStyle w:val="SchemaDefinitionenHeader"/>
        <w:ind w:left="2700"/>
        <w:rPr>
          <w:color w:val="auto"/>
          <w:sz w:val="18"/>
          <w:szCs w:val="18"/>
        </w:rPr>
      </w:pPr>
      <w:r w:rsidRPr="007D16DF">
        <w:rPr>
          <w:b/>
          <w:bCs/>
          <w:color w:val="auto"/>
          <w:sz w:val="18"/>
          <w:szCs w:val="18"/>
        </w:rPr>
        <w:t>P:</w:t>
      </w:r>
      <w:r w:rsidRPr="007D16DF">
        <w:rPr>
          <w:color w:val="auto"/>
          <w:sz w:val="18"/>
          <w:szCs w:val="18"/>
        </w:rPr>
        <w:t xml:space="preserve"> Abgrenzung Mittelbare Täterschaft zu Anstiftung</w:t>
      </w:r>
    </w:p>
    <w:p w14:paraId="6ACB2AEF" w14:textId="668ECCDB" w:rsidR="006539CC" w:rsidRPr="007D16DF" w:rsidRDefault="00000000" w:rsidP="006539CC">
      <w:pPr>
        <w:pStyle w:val="SchemaDefinitionenHeader"/>
        <w:ind w:left="2700"/>
        <w:rPr>
          <w:iCs/>
          <w:color w:val="auto"/>
          <w:sz w:val="18"/>
          <w:szCs w:val="18"/>
        </w:rPr>
      </w:pPr>
      <w:hyperlink w:anchor="Täter_hinter" w:history="1">
        <w:r w:rsidR="006539CC" w:rsidRPr="007D16DF">
          <w:rPr>
            <w:rStyle w:val="Hyperlink"/>
            <w:b/>
            <w:bCs/>
            <w:iCs/>
            <w:color w:val="auto"/>
            <w:sz w:val="18"/>
            <w:szCs w:val="18"/>
            <w:u w:val="none"/>
          </w:rPr>
          <w:t>P:</w:t>
        </w:r>
        <w:r w:rsidR="006539CC" w:rsidRPr="007D16DF">
          <w:rPr>
            <w:rStyle w:val="Hyperlink"/>
            <w:iCs/>
            <w:color w:val="auto"/>
            <w:sz w:val="18"/>
            <w:szCs w:val="18"/>
            <w:u w:val="none"/>
          </w:rPr>
          <w:t xml:space="preserve"> Täter hinter dem Täter</w:t>
        </w:r>
      </w:hyperlink>
    </w:p>
    <w:p w14:paraId="21BE0CFF" w14:textId="56ACA067" w:rsidR="006539CC" w:rsidRPr="007D16DF" w:rsidRDefault="00000000" w:rsidP="006539CC">
      <w:pPr>
        <w:pStyle w:val="SchemaDefinitionenHeader"/>
        <w:numPr>
          <w:ilvl w:val="0"/>
          <w:numId w:val="4"/>
        </w:numPr>
        <w:ind w:left="2700"/>
        <w:rPr>
          <w:i/>
          <w:iCs/>
          <w:color w:val="auto"/>
          <w:sz w:val="18"/>
          <w:szCs w:val="18"/>
        </w:rPr>
      </w:pPr>
      <w:hyperlink w:anchor="Organisationsherrschaft" w:history="1">
        <w:r w:rsidR="006539CC" w:rsidRPr="007D16DF">
          <w:rPr>
            <w:rStyle w:val="Hyperlink"/>
            <w:i/>
            <w:iCs/>
            <w:color w:val="auto"/>
            <w:sz w:val="18"/>
            <w:szCs w:val="18"/>
            <w:u w:val="none"/>
          </w:rPr>
          <w:t>Organisationsherrschaft</w:t>
        </w:r>
      </w:hyperlink>
    </w:p>
    <w:p w14:paraId="674C56E3" w14:textId="33801E8A" w:rsidR="00715314" w:rsidRPr="007D16DF" w:rsidRDefault="00D62DE4" w:rsidP="00715314">
      <w:pPr>
        <w:pStyle w:val="SchemaDefinitionenHeader"/>
        <w:numPr>
          <w:ilvl w:val="0"/>
          <w:numId w:val="2"/>
        </w:numPr>
        <w:ind w:left="1080"/>
        <w:rPr>
          <w:rStyle w:val="Hyperlink"/>
          <w:b/>
          <w:bCs/>
          <w:color w:val="auto"/>
          <w:sz w:val="18"/>
          <w:szCs w:val="18"/>
          <w:u w:val="none"/>
        </w:rPr>
      </w:pPr>
      <w:r w:rsidRPr="007D16DF">
        <w:rPr>
          <w:b/>
          <w:bCs/>
          <w:color w:val="auto"/>
          <w:sz w:val="18"/>
          <w:szCs w:val="18"/>
        </w:rPr>
        <w:fldChar w:fldCharType="begin"/>
      </w:r>
      <w:r w:rsidRPr="007D16DF">
        <w:rPr>
          <w:b/>
          <w:bCs/>
          <w:color w:val="auto"/>
          <w:sz w:val="18"/>
          <w:szCs w:val="18"/>
        </w:rPr>
        <w:instrText xml:space="preserve"> HYPERLINK  \l "subj_TB" </w:instrText>
      </w:r>
      <w:r w:rsidRPr="007D16DF">
        <w:rPr>
          <w:b/>
          <w:bCs/>
          <w:color w:val="auto"/>
          <w:sz w:val="18"/>
          <w:szCs w:val="18"/>
        </w:rPr>
      </w:r>
      <w:r w:rsidRPr="007D16DF">
        <w:rPr>
          <w:b/>
          <w:bCs/>
          <w:color w:val="auto"/>
          <w:sz w:val="18"/>
          <w:szCs w:val="18"/>
        </w:rPr>
        <w:fldChar w:fldCharType="separate"/>
      </w:r>
      <w:r w:rsidR="00715314" w:rsidRPr="007D16DF">
        <w:rPr>
          <w:rStyle w:val="Hyperlink"/>
          <w:b/>
          <w:bCs/>
          <w:color w:val="auto"/>
          <w:sz w:val="18"/>
          <w:szCs w:val="18"/>
          <w:u w:val="none"/>
        </w:rPr>
        <w:t>Subjektiver Tatbestand</w:t>
      </w:r>
    </w:p>
    <w:p w14:paraId="254D2C10" w14:textId="513DB9DD" w:rsidR="006539CC" w:rsidRPr="007D16DF" w:rsidRDefault="00D62DE4" w:rsidP="006539CC">
      <w:pPr>
        <w:pStyle w:val="SchemaDefinitionenHeader"/>
        <w:numPr>
          <w:ilvl w:val="1"/>
          <w:numId w:val="2"/>
        </w:numPr>
        <w:ind w:left="1800"/>
        <w:rPr>
          <w:i/>
          <w:iCs/>
          <w:color w:val="auto"/>
          <w:sz w:val="18"/>
          <w:szCs w:val="18"/>
        </w:rPr>
      </w:pPr>
      <w:r w:rsidRPr="007D16DF">
        <w:rPr>
          <w:b/>
          <w:bCs/>
          <w:color w:val="auto"/>
          <w:sz w:val="18"/>
          <w:szCs w:val="18"/>
        </w:rPr>
        <w:fldChar w:fldCharType="end"/>
      </w:r>
      <w:r w:rsidR="006539CC" w:rsidRPr="007D16DF">
        <w:rPr>
          <w:i/>
          <w:iCs/>
          <w:color w:val="auto"/>
          <w:sz w:val="18"/>
          <w:szCs w:val="18"/>
        </w:rPr>
        <w:t>Vorsatz bezogen auf die objektive Tatbestandsverwirklichung des Vordermanns sowie Bewusstsein der eigenen Tatherrschaft bzw. Täterwille</w:t>
      </w:r>
    </w:p>
    <w:p w14:paraId="1CA03450" w14:textId="77777777" w:rsidR="006539CC" w:rsidRPr="007D16DF" w:rsidRDefault="006539CC" w:rsidP="006539CC">
      <w:pPr>
        <w:pStyle w:val="SchemaDefinitionenHeader"/>
        <w:numPr>
          <w:ilvl w:val="1"/>
          <w:numId w:val="2"/>
        </w:numPr>
        <w:ind w:left="1800"/>
        <w:rPr>
          <w:i/>
          <w:iCs/>
          <w:color w:val="auto"/>
          <w:sz w:val="18"/>
          <w:szCs w:val="18"/>
        </w:rPr>
      </w:pPr>
      <w:r w:rsidRPr="007D16DF">
        <w:rPr>
          <w:i/>
          <w:iCs/>
          <w:color w:val="auto"/>
          <w:sz w:val="18"/>
          <w:szCs w:val="18"/>
        </w:rPr>
        <w:t>Spezielle Absichten, z.B. Zueignungsabsicht</w:t>
      </w:r>
    </w:p>
    <w:p w14:paraId="18703FD2" w14:textId="1D5FF060" w:rsidR="006539CC" w:rsidRPr="007D16DF" w:rsidRDefault="006539CC" w:rsidP="006539CC">
      <w:pPr>
        <w:pStyle w:val="SchemaDefinitionenHeader"/>
        <w:numPr>
          <w:ilvl w:val="1"/>
          <w:numId w:val="2"/>
        </w:numPr>
        <w:ind w:left="1800"/>
        <w:rPr>
          <w:i/>
          <w:iCs/>
          <w:color w:val="auto"/>
          <w:sz w:val="18"/>
          <w:szCs w:val="18"/>
        </w:rPr>
      </w:pPr>
      <w:r w:rsidRPr="007D16DF">
        <w:rPr>
          <w:i/>
          <w:iCs/>
          <w:color w:val="auto"/>
          <w:sz w:val="18"/>
          <w:szCs w:val="18"/>
        </w:rPr>
        <w:t>Besondere subjektive Merkmale</w:t>
      </w:r>
    </w:p>
    <w:p w14:paraId="0E0F56B5" w14:textId="35F9E110" w:rsidR="006539CC" w:rsidRPr="007D16DF" w:rsidRDefault="00000000" w:rsidP="006539CC">
      <w:pPr>
        <w:pStyle w:val="SchemaDefinitionenHeader"/>
        <w:numPr>
          <w:ilvl w:val="0"/>
          <w:numId w:val="1"/>
        </w:numPr>
        <w:ind w:left="720"/>
        <w:rPr>
          <w:b/>
          <w:bCs/>
          <w:color w:val="auto"/>
          <w:sz w:val="18"/>
          <w:szCs w:val="18"/>
        </w:rPr>
      </w:pPr>
      <w:hyperlink w:anchor="uU_Tatbestandsverschiebung" w:history="1">
        <w:r w:rsidR="006539CC" w:rsidRPr="007D16DF">
          <w:rPr>
            <w:rStyle w:val="Hyperlink"/>
            <w:b/>
            <w:bCs/>
            <w:color w:val="auto"/>
            <w:sz w:val="18"/>
            <w:szCs w:val="18"/>
            <w:u w:val="none"/>
          </w:rPr>
          <w:t>Unter Umständen Tatbestandsverschiebung nach § 28 II StGB</w:t>
        </w:r>
      </w:hyperlink>
    </w:p>
    <w:p w14:paraId="7D7E1499" w14:textId="138F8D2B" w:rsidR="006539CC" w:rsidRPr="007D16DF" w:rsidRDefault="00000000" w:rsidP="006539CC">
      <w:pPr>
        <w:pStyle w:val="SchemaDefinitionenHeader"/>
        <w:numPr>
          <w:ilvl w:val="0"/>
          <w:numId w:val="1"/>
        </w:numPr>
        <w:ind w:left="720"/>
        <w:rPr>
          <w:b/>
          <w:bCs/>
          <w:color w:val="auto"/>
          <w:sz w:val="18"/>
          <w:szCs w:val="18"/>
        </w:rPr>
      </w:pPr>
      <w:hyperlink w:anchor="RW" w:history="1">
        <w:r w:rsidR="006539CC" w:rsidRPr="007D16DF">
          <w:rPr>
            <w:rStyle w:val="Hyperlink"/>
            <w:b/>
            <w:bCs/>
            <w:color w:val="auto"/>
            <w:sz w:val="18"/>
            <w:szCs w:val="18"/>
            <w:u w:val="none"/>
          </w:rPr>
          <w:t>Rechtswidrigkeit</w:t>
        </w:r>
      </w:hyperlink>
    </w:p>
    <w:p w14:paraId="68E93049" w14:textId="16CFCA5A" w:rsidR="006539CC" w:rsidRPr="007D16DF" w:rsidRDefault="00000000" w:rsidP="006539CC">
      <w:pPr>
        <w:pStyle w:val="SchemaDefinitionenHeader"/>
        <w:numPr>
          <w:ilvl w:val="0"/>
          <w:numId w:val="1"/>
        </w:numPr>
        <w:ind w:left="720"/>
        <w:rPr>
          <w:b/>
          <w:bCs/>
          <w:color w:val="auto"/>
          <w:sz w:val="18"/>
          <w:szCs w:val="18"/>
        </w:rPr>
      </w:pPr>
      <w:hyperlink w:anchor="Schuld" w:history="1">
        <w:r w:rsidR="006539CC" w:rsidRPr="007D16DF">
          <w:rPr>
            <w:rStyle w:val="Hyperlink"/>
            <w:b/>
            <w:bCs/>
            <w:color w:val="auto"/>
            <w:sz w:val="18"/>
            <w:szCs w:val="18"/>
            <w:u w:val="none"/>
          </w:rPr>
          <w:t>Schuld</w:t>
        </w:r>
      </w:hyperlink>
    </w:p>
    <w:p w14:paraId="3D3CB991" w14:textId="3E5D36D8" w:rsidR="00715314" w:rsidRPr="007D16DF" w:rsidRDefault="00715314">
      <w:pPr>
        <w:rPr>
          <w:rFonts w:ascii="Open Sans" w:hAnsi="Open Sans" w:cs="Open Sans"/>
          <w:b/>
          <w:bCs/>
          <w:sz w:val="36"/>
          <w:szCs w:val="36"/>
        </w:rPr>
      </w:pPr>
    </w:p>
    <w:p w14:paraId="40EF3CE0" w14:textId="77777777" w:rsidR="00715314" w:rsidRPr="007D16DF" w:rsidRDefault="00715314">
      <w:pPr>
        <w:rPr>
          <w:rFonts w:ascii="Open Sans" w:hAnsi="Open Sans" w:cs="Open Sans"/>
          <w:b/>
          <w:bCs/>
          <w:sz w:val="36"/>
          <w:szCs w:val="36"/>
        </w:rPr>
      </w:pPr>
      <w:r w:rsidRPr="007D16DF">
        <w:rPr>
          <w:rFonts w:ascii="Open Sans" w:hAnsi="Open Sans" w:cs="Open Sans"/>
          <w:b/>
          <w:bCs/>
          <w:sz w:val="36"/>
          <w:szCs w:val="36"/>
        </w:rPr>
        <w:br w:type="page"/>
      </w:r>
    </w:p>
    <w:p w14:paraId="7C8BB968" w14:textId="77777777" w:rsidR="006539CC" w:rsidRPr="007D16DF" w:rsidRDefault="006539CC" w:rsidP="006539CC">
      <w:pPr>
        <w:jc w:val="both"/>
        <w:rPr>
          <w:rFonts w:ascii="Open Sans" w:hAnsi="Open Sans" w:cs="Open Sans"/>
          <w:b/>
          <w:bCs/>
          <w:sz w:val="36"/>
          <w:szCs w:val="36"/>
        </w:rPr>
      </w:pPr>
      <w:r w:rsidRPr="007D16DF">
        <w:rPr>
          <w:rFonts w:ascii="Open Sans" w:hAnsi="Open Sans" w:cs="Open Sans"/>
          <w:b/>
          <w:bCs/>
          <w:sz w:val="36"/>
          <w:szCs w:val="36"/>
        </w:rPr>
        <w:lastRenderedPageBreak/>
        <w:t>§ 25 I Alt. 2 StGB – Mittelbare Täterschaft</w:t>
      </w:r>
    </w:p>
    <w:p w14:paraId="1754CAD6" w14:textId="77777777" w:rsidR="006539CC" w:rsidRPr="00E3590A" w:rsidRDefault="006539CC" w:rsidP="006539CC">
      <w:pPr>
        <w:pStyle w:val="SchemaDefinitionenHeader"/>
        <w:rPr>
          <w:color w:val="BFBFBF" w:themeColor="background1" w:themeShade="BF"/>
        </w:rPr>
      </w:pPr>
      <w:r w:rsidRPr="00E3590A">
        <w:rPr>
          <w:color w:val="BFBFBF" w:themeColor="background1" w:themeShade="BF"/>
        </w:rPr>
        <w:t>Schema</w:t>
      </w:r>
    </w:p>
    <w:p w14:paraId="2AF6378E" w14:textId="77777777" w:rsidR="006539CC" w:rsidRPr="007D16DF" w:rsidRDefault="006539CC" w:rsidP="006539CC">
      <w:pPr>
        <w:pStyle w:val="SchemaDefinitionenHeader"/>
        <w:rPr>
          <w:color w:val="auto"/>
        </w:rPr>
      </w:pPr>
    </w:p>
    <w:p w14:paraId="42BE04D3" w14:textId="1A63C4E1" w:rsidR="006539CC" w:rsidRPr="007D16DF" w:rsidRDefault="006539CC" w:rsidP="006539CC">
      <w:pPr>
        <w:pStyle w:val="Tatbestandberschriften"/>
        <w:tabs>
          <w:tab w:val="left" w:pos="3965"/>
        </w:tabs>
        <w:spacing w:after="0"/>
        <w:rPr>
          <w:b w:val="0"/>
          <w:bCs/>
          <w:color w:val="auto"/>
          <w14:textFill>
            <w14:solidFill>
              <w14:srgbClr w14:val="000000">
                <w14:lumMod w14:val="65000"/>
              </w14:srgbClr>
            </w14:solidFill>
          </w14:textFill>
        </w:rPr>
      </w:pPr>
      <w:r w:rsidRPr="007D16DF">
        <w:rPr>
          <w:color w:val="auto"/>
          <w14:textFill>
            <w14:solidFill>
              <w14:srgbClr w14:val="000000">
                <w14:lumMod w14:val="65000"/>
              </w14:srgbClr>
            </w14:solidFill>
          </w14:textFill>
        </w:rPr>
        <w:t>Merke:</w:t>
      </w:r>
      <w:r w:rsidRPr="007D16DF">
        <w:rPr>
          <w:b w:val="0"/>
          <w:bCs/>
          <w:color w:val="auto"/>
          <w14:textFill>
            <w14:solidFill>
              <w14:srgbClr w14:val="000000">
                <w14:lumMod w14:val="65000"/>
              </w14:srgbClr>
            </w14:solidFill>
          </w14:textFill>
        </w:rPr>
        <w:t xml:space="preserve"> Der Tatnächste wird immer zuerst geprüft</w:t>
      </w:r>
      <w:r w:rsidR="006E259D" w:rsidRPr="007D16DF">
        <w:rPr>
          <w:b w:val="0"/>
          <w:bCs/>
          <w:color w:val="auto"/>
          <w14:textFill>
            <w14:solidFill>
              <w14:srgbClr w14:val="000000">
                <w14:lumMod w14:val="65000"/>
              </w14:srgbClr>
            </w14:solidFill>
          </w14:textFill>
        </w:rPr>
        <w:t>.</w:t>
      </w:r>
      <w:r w:rsidRPr="007D16DF">
        <w:rPr>
          <w:b w:val="0"/>
          <w:bCs/>
          <w:color w:val="auto"/>
          <w14:textFill>
            <w14:solidFill>
              <w14:srgbClr w14:val="000000">
                <w14:lumMod w14:val="65000"/>
              </w14:srgbClr>
            </w14:solidFill>
          </w14:textFill>
        </w:rPr>
        <w:t xml:space="preserve"> </w:t>
      </w:r>
      <w:r w:rsidR="006E259D" w:rsidRPr="007D16DF">
        <w:rPr>
          <w:b w:val="0"/>
          <w:bCs/>
          <w:color w:val="auto"/>
          <w14:textFill>
            <w14:solidFill>
              <w14:srgbClr w14:val="000000">
                <w14:lumMod w14:val="65000"/>
              </w14:srgbClr>
            </w14:solidFill>
          </w14:textFill>
        </w:rPr>
        <w:t>D</w:t>
      </w:r>
      <w:r w:rsidRPr="007D16DF">
        <w:rPr>
          <w:b w:val="0"/>
          <w:bCs/>
          <w:color w:val="auto"/>
          <w14:textFill>
            <w14:solidFill>
              <w14:srgbClr w14:val="000000">
                <w14:lumMod w14:val="65000"/>
              </w14:srgbClr>
            </w14:solidFill>
          </w14:textFill>
        </w:rPr>
        <w:t xml:space="preserve">er mittelbare Täter ist ein Hintermann und somit folgt seine Strafbarkeitsprüfung erst im Anschluss an den/die Tatnächsten/Tatnäheren. </w:t>
      </w:r>
    </w:p>
    <w:p w14:paraId="0ECBDC03" w14:textId="77777777" w:rsidR="006539CC" w:rsidRPr="007D16DF" w:rsidRDefault="006539CC" w:rsidP="006539CC">
      <w:pPr>
        <w:pStyle w:val="Tatbestandberschriften"/>
        <w:tabs>
          <w:tab w:val="left" w:pos="3965"/>
        </w:tabs>
        <w:spacing w:after="0"/>
        <w:rPr>
          <w:b w:val="0"/>
          <w:bCs/>
          <w:color w:val="auto"/>
          <w14:textFill>
            <w14:solidFill>
              <w14:srgbClr w14:val="000000">
                <w14:lumMod w14:val="65000"/>
              </w14:srgbClr>
            </w14:solidFill>
          </w14:textFill>
        </w:rPr>
      </w:pPr>
    </w:p>
    <w:p w14:paraId="3DC40BE6" w14:textId="77777777" w:rsidR="006539CC" w:rsidRPr="007D16DF" w:rsidRDefault="006539CC" w:rsidP="006539CC">
      <w:pPr>
        <w:pStyle w:val="Tatbestandberschriften"/>
        <w:tabs>
          <w:tab w:val="left" w:pos="3965"/>
        </w:tabs>
        <w:spacing w:after="0"/>
        <w:rPr>
          <w:color w:val="auto"/>
          <w14:textFill>
            <w14:solidFill>
              <w14:srgbClr w14:val="000000">
                <w14:lumMod w14:val="65000"/>
              </w14:srgbClr>
            </w14:solidFill>
          </w14:textFill>
        </w:rPr>
      </w:pPr>
    </w:p>
    <w:p w14:paraId="250941DC" w14:textId="77777777" w:rsidR="006539CC" w:rsidRPr="007D16DF" w:rsidRDefault="006539CC" w:rsidP="00D62DE4">
      <w:pPr>
        <w:pStyle w:val="SchemaDefinitionenHeader"/>
        <w:numPr>
          <w:ilvl w:val="0"/>
          <w:numId w:val="28"/>
        </w:numPr>
        <w:rPr>
          <w:b/>
          <w:bCs/>
          <w:color w:val="auto"/>
        </w:rPr>
      </w:pPr>
      <w:bookmarkStart w:id="1" w:name="Tatbestand"/>
      <w:r w:rsidRPr="007D16DF">
        <w:rPr>
          <w:b/>
          <w:bCs/>
          <w:color w:val="auto"/>
        </w:rPr>
        <w:t>Tatbestand</w:t>
      </w:r>
    </w:p>
    <w:p w14:paraId="6F305D73" w14:textId="77777777" w:rsidR="006539CC" w:rsidRPr="007D16DF" w:rsidRDefault="006539CC" w:rsidP="00D62DE4">
      <w:pPr>
        <w:pStyle w:val="SchemaDefinitionenHeader"/>
        <w:numPr>
          <w:ilvl w:val="0"/>
          <w:numId w:val="29"/>
        </w:numPr>
        <w:rPr>
          <w:b/>
          <w:bCs/>
          <w:color w:val="auto"/>
        </w:rPr>
      </w:pPr>
      <w:bookmarkStart w:id="2" w:name="Obj_TB"/>
      <w:bookmarkEnd w:id="1"/>
      <w:r w:rsidRPr="007D16DF">
        <w:rPr>
          <w:b/>
          <w:bCs/>
          <w:color w:val="auto"/>
        </w:rPr>
        <w:t>Objektiver Tatbestand</w:t>
      </w:r>
    </w:p>
    <w:p w14:paraId="2D7DFE63" w14:textId="793C4228" w:rsidR="006539CC" w:rsidRPr="007D16DF" w:rsidRDefault="006539CC" w:rsidP="00D62DE4">
      <w:pPr>
        <w:pStyle w:val="SchemaDefinitionenHeader"/>
        <w:numPr>
          <w:ilvl w:val="1"/>
          <w:numId w:val="29"/>
        </w:numPr>
        <w:rPr>
          <w:i/>
          <w:iCs/>
          <w:color w:val="auto"/>
        </w:rPr>
      </w:pPr>
      <w:bookmarkStart w:id="3" w:name="Nicht_alle"/>
      <w:bookmarkEnd w:id="2"/>
      <w:r w:rsidRPr="007D16DF">
        <w:rPr>
          <w:i/>
          <w:iCs/>
          <w:color w:val="auto"/>
        </w:rPr>
        <w:t xml:space="preserve">Nicht alle Tatbestandsmerkmale in eigener Person </w:t>
      </w:r>
      <w:r w:rsidR="006E259D" w:rsidRPr="007D16DF">
        <w:rPr>
          <w:i/>
          <w:iCs/>
          <w:color w:val="auto"/>
        </w:rPr>
        <w:t>gemäß</w:t>
      </w:r>
      <w:r w:rsidRPr="007D16DF">
        <w:rPr>
          <w:i/>
          <w:iCs/>
          <w:color w:val="auto"/>
        </w:rPr>
        <w:t xml:space="preserve"> § 25 I Alt. 1 StGB verwirklicht</w:t>
      </w:r>
    </w:p>
    <w:p w14:paraId="5594EE4F" w14:textId="4B47BA48" w:rsidR="006539CC" w:rsidRPr="007D16DF" w:rsidRDefault="006539CC" w:rsidP="00D62DE4">
      <w:pPr>
        <w:pStyle w:val="SchemaDefinitionenHeader"/>
        <w:numPr>
          <w:ilvl w:val="1"/>
          <w:numId w:val="29"/>
        </w:numPr>
        <w:rPr>
          <w:i/>
          <w:iCs/>
          <w:color w:val="auto"/>
        </w:rPr>
      </w:pPr>
      <w:bookmarkStart w:id="4" w:name="Mitt_TS"/>
      <w:bookmarkEnd w:id="3"/>
      <w:r w:rsidRPr="007D16DF">
        <w:rPr>
          <w:i/>
          <w:iCs/>
          <w:color w:val="auto"/>
        </w:rPr>
        <w:t>Mittelbare Täterschaft darf nicht ausgeschlossen sein (Täterqualität)</w:t>
      </w:r>
    </w:p>
    <w:p w14:paraId="19C23BB1" w14:textId="54EDF7BF" w:rsidR="00B04BB9" w:rsidRPr="007D16DF" w:rsidRDefault="004B5443" w:rsidP="00161613">
      <w:pPr>
        <w:pStyle w:val="SchemaDefinitionenHeader"/>
        <w:ind w:left="1800"/>
        <w:rPr>
          <w:color w:val="auto"/>
        </w:rPr>
      </w:pPr>
      <w:r w:rsidRPr="007D16DF">
        <w:rPr>
          <w:color w:val="auto"/>
        </w:rPr>
        <w:t xml:space="preserve">Ausgeschlossen ist die mittelbare Täterschaft </w:t>
      </w:r>
      <w:r w:rsidR="00B04BB9" w:rsidRPr="007D16DF">
        <w:rPr>
          <w:color w:val="auto"/>
        </w:rPr>
        <w:t>bei sog. Eigenhändigen Delikten und Sonderdelikten:</w:t>
      </w:r>
    </w:p>
    <w:bookmarkEnd w:id="4"/>
    <w:p w14:paraId="4D873E71" w14:textId="77777777" w:rsidR="006539CC" w:rsidRPr="007D16DF" w:rsidRDefault="006539CC" w:rsidP="006539CC">
      <w:pPr>
        <w:pStyle w:val="SchemaDefinitionenHeader"/>
        <w:numPr>
          <w:ilvl w:val="1"/>
          <w:numId w:val="26"/>
        </w:numPr>
        <w:rPr>
          <w:color w:val="auto"/>
        </w:rPr>
      </w:pPr>
      <w:r w:rsidRPr="007D16DF">
        <w:rPr>
          <w:color w:val="auto"/>
        </w:rPr>
        <w:t>Eigenhändige Delikte setzen eine eigenhändige Vornahme der Tatbestandsverwirklichung voraus, so z.B. 315 c StGB oder 153 ff. StGB.</w:t>
      </w:r>
    </w:p>
    <w:p w14:paraId="5873448C" w14:textId="79199497" w:rsidR="006539CC" w:rsidRPr="007D16DF" w:rsidRDefault="006539CC" w:rsidP="006539CC">
      <w:pPr>
        <w:pStyle w:val="SchemaDefinitionenHeader"/>
        <w:numPr>
          <w:ilvl w:val="1"/>
          <w:numId w:val="26"/>
        </w:numPr>
        <w:rPr>
          <w:color w:val="auto"/>
        </w:rPr>
      </w:pPr>
      <w:r w:rsidRPr="007D16DF">
        <w:rPr>
          <w:color w:val="auto"/>
        </w:rPr>
        <w:t xml:space="preserve">Bestimmte Sonderdelikte knüpfen besondere Eigenschaften an den Täter an. Bspw. muss </w:t>
      </w:r>
      <w:r w:rsidR="00A36126" w:rsidRPr="007D16DF">
        <w:rPr>
          <w:color w:val="auto"/>
        </w:rPr>
        <w:t xml:space="preserve">der Täter </w:t>
      </w:r>
      <w:r w:rsidRPr="007D16DF">
        <w:rPr>
          <w:color w:val="auto"/>
        </w:rPr>
        <w:t>für eine Strafbarkeit nach § 348 StGB ein Amtsträger sein, der zur Aufnahme öffentlicher Urkunden befugt ist</w:t>
      </w:r>
      <w:r w:rsidR="002773C6" w:rsidRPr="007D16DF">
        <w:rPr>
          <w:color w:val="auto"/>
        </w:rPr>
        <w:t>.</w:t>
      </w:r>
    </w:p>
    <w:p w14:paraId="5919A459" w14:textId="77777777" w:rsidR="006539CC" w:rsidRPr="007D16DF" w:rsidRDefault="006539CC" w:rsidP="006539CC">
      <w:pPr>
        <w:pStyle w:val="SchemaDefinitionenHeader"/>
        <w:ind w:left="1800"/>
        <w:rPr>
          <w:color w:val="auto"/>
        </w:rPr>
      </w:pPr>
    </w:p>
    <w:p w14:paraId="47C2BCFA" w14:textId="77777777" w:rsidR="006539CC" w:rsidRPr="007D16DF" w:rsidRDefault="006539CC" w:rsidP="00D62DE4">
      <w:pPr>
        <w:pStyle w:val="SchemaDefinitionenHeader"/>
        <w:numPr>
          <w:ilvl w:val="1"/>
          <w:numId w:val="29"/>
        </w:numPr>
        <w:rPr>
          <w:i/>
          <w:iCs/>
          <w:color w:val="auto"/>
        </w:rPr>
      </w:pPr>
      <w:bookmarkStart w:id="5" w:name="Erfolgseintritt"/>
      <w:r w:rsidRPr="007D16DF">
        <w:rPr>
          <w:i/>
          <w:iCs/>
          <w:color w:val="auto"/>
        </w:rPr>
        <w:t>Erfolgseintritt</w:t>
      </w:r>
    </w:p>
    <w:p w14:paraId="14D8AA13" w14:textId="77777777" w:rsidR="006539CC" w:rsidRPr="007D16DF" w:rsidRDefault="006539CC" w:rsidP="00D62DE4">
      <w:pPr>
        <w:pStyle w:val="SchemaDefinitionenHeader"/>
        <w:numPr>
          <w:ilvl w:val="1"/>
          <w:numId w:val="29"/>
        </w:numPr>
        <w:rPr>
          <w:i/>
          <w:iCs/>
          <w:color w:val="auto"/>
        </w:rPr>
      </w:pPr>
      <w:bookmarkStart w:id="6" w:name="Einwirkungshandlung"/>
      <w:bookmarkEnd w:id="5"/>
      <w:r w:rsidRPr="007D16DF">
        <w:rPr>
          <w:i/>
          <w:iCs/>
          <w:color w:val="auto"/>
        </w:rPr>
        <w:t>Einwirkungshandlung des Hintermanns (mittelbarer Täter) auf den Vordermann (Tatnächster / Tatnäherer)</w:t>
      </w:r>
    </w:p>
    <w:p w14:paraId="570159EA" w14:textId="77777777" w:rsidR="006539CC" w:rsidRPr="007D16DF" w:rsidRDefault="006539CC" w:rsidP="00D62DE4">
      <w:pPr>
        <w:pStyle w:val="SchemaDefinitionenHeader"/>
        <w:numPr>
          <w:ilvl w:val="1"/>
          <w:numId w:val="29"/>
        </w:numPr>
        <w:rPr>
          <w:i/>
          <w:iCs/>
          <w:color w:val="auto"/>
        </w:rPr>
      </w:pPr>
      <w:bookmarkStart w:id="7" w:name="Strafbarkeitsbegründung"/>
      <w:bookmarkEnd w:id="6"/>
      <w:r w:rsidRPr="007D16DF">
        <w:rPr>
          <w:i/>
          <w:iCs/>
          <w:color w:val="auto"/>
        </w:rPr>
        <w:t>Strafbarkeitsbegründung der Einwirkungshandlung</w:t>
      </w:r>
    </w:p>
    <w:p w14:paraId="53551E24" w14:textId="77777777" w:rsidR="00A36126" w:rsidRPr="007D16DF" w:rsidRDefault="006539CC" w:rsidP="00A36126">
      <w:pPr>
        <w:pStyle w:val="SchemaDefinitionenHeader"/>
        <w:numPr>
          <w:ilvl w:val="0"/>
          <w:numId w:val="30"/>
        </w:numPr>
        <w:rPr>
          <w:i/>
          <w:iCs/>
          <w:color w:val="auto"/>
        </w:rPr>
      </w:pPr>
      <w:bookmarkStart w:id="8" w:name="Strafbarkeitsmangel"/>
      <w:bookmarkEnd w:id="7"/>
      <w:r w:rsidRPr="007D16DF">
        <w:rPr>
          <w:i/>
          <w:iCs/>
          <w:color w:val="auto"/>
        </w:rPr>
        <w:t>Strafbarkeitsmangel beim Vordermann</w:t>
      </w:r>
      <w:bookmarkEnd w:id="8"/>
    </w:p>
    <w:p w14:paraId="323C474E" w14:textId="77777777" w:rsidR="00A36126" w:rsidRPr="007D16DF" w:rsidRDefault="006539CC" w:rsidP="00A36126">
      <w:pPr>
        <w:pStyle w:val="SchemaDefinitionenHeader"/>
        <w:ind w:left="2628"/>
        <w:rPr>
          <w:i/>
          <w:iCs/>
          <w:color w:val="auto"/>
        </w:rPr>
      </w:pPr>
      <w:r w:rsidRPr="007D16DF">
        <w:rPr>
          <w:iCs/>
          <w:color w:val="auto"/>
        </w:rPr>
        <w:t>Die Strafbarkeit des Hintermanns wird dadurch begründet, dass dieser die Tat „durch“ einen anderen begeht. Er ruft einen Strafbarkeitsdefekt beim Vordermann (Tatnächster/ Tatnäherer) hervor, den er als Hintermann für seine eigenen Zwecke ausnutzt.</w:t>
      </w:r>
    </w:p>
    <w:p w14:paraId="304ACAB9" w14:textId="13B56DA6" w:rsidR="006539CC" w:rsidRPr="007D16DF" w:rsidRDefault="006539CC" w:rsidP="00A36126">
      <w:pPr>
        <w:pStyle w:val="SchemaDefinitionenHeader"/>
        <w:ind w:left="2628"/>
        <w:rPr>
          <w:i/>
          <w:iCs/>
          <w:color w:val="auto"/>
        </w:rPr>
      </w:pPr>
      <w:r w:rsidRPr="007D16DF">
        <w:rPr>
          <w:iCs/>
          <w:color w:val="auto"/>
        </w:rPr>
        <w:lastRenderedPageBreak/>
        <w:t>Dieser Defekt kann auf Ebene des objektiven Tatbestandes, des subjektiven Tatbestandes, auf Ebene der Rechtswidrigkeit oder auf Ebene der Schuld begründet werden.</w:t>
      </w:r>
    </w:p>
    <w:p w14:paraId="404FE1B7" w14:textId="77777777" w:rsidR="006539CC" w:rsidRPr="007D16DF" w:rsidRDefault="006539CC" w:rsidP="006539CC">
      <w:pPr>
        <w:pStyle w:val="SchemaDefinitionenHeader"/>
        <w:ind w:left="2700"/>
        <w:rPr>
          <w:iCs/>
          <w:color w:val="auto"/>
        </w:rPr>
      </w:pPr>
    </w:p>
    <w:p w14:paraId="31BD20A9" w14:textId="77777777" w:rsidR="00582E31" w:rsidRPr="007D16DF" w:rsidRDefault="006539CC" w:rsidP="00582E31">
      <w:pPr>
        <w:pStyle w:val="SchemaDefinitionenHeader"/>
        <w:numPr>
          <w:ilvl w:val="4"/>
          <w:numId w:val="29"/>
        </w:numPr>
        <w:rPr>
          <w:iCs/>
          <w:color w:val="auto"/>
        </w:rPr>
      </w:pPr>
      <w:r w:rsidRPr="007D16DF">
        <w:rPr>
          <w:iCs/>
          <w:color w:val="auto"/>
        </w:rPr>
        <w:t>Tatbestandslos</w:t>
      </w:r>
    </w:p>
    <w:p w14:paraId="49831781" w14:textId="08E3993C" w:rsidR="006539CC" w:rsidRPr="007D16DF" w:rsidRDefault="006539CC" w:rsidP="00582E31">
      <w:pPr>
        <w:pStyle w:val="SchemaDefinitionenHeader"/>
        <w:ind w:left="3960"/>
        <w:rPr>
          <w:iCs/>
          <w:color w:val="auto"/>
        </w:rPr>
      </w:pPr>
      <w:r w:rsidRPr="007D16DF">
        <w:rPr>
          <w:i/>
          <w:color w:val="auto"/>
        </w:rPr>
        <w:t>Bsp.:</w:t>
      </w:r>
      <w:r w:rsidRPr="007D16DF">
        <w:rPr>
          <w:iCs/>
          <w:color w:val="auto"/>
        </w:rPr>
        <w:t xml:space="preserve"> </w:t>
      </w:r>
      <w:r w:rsidR="00A36126" w:rsidRPr="007D16DF">
        <w:rPr>
          <w:iCs/>
          <w:color w:val="auto"/>
        </w:rPr>
        <w:t xml:space="preserve">Der </w:t>
      </w:r>
      <w:r w:rsidRPr="007D16DF">
        <w:rPr>
          <w:iCs/>
          <w:color w:val="auto"/>
        </w:rPr>
        <w:t>Vordermann richtet eine Tat gegen sich selbst.</w:t>
      </w:r>
      <w:r w:rsidR="0054134D" w:rsidRPr="007D16DF">
        <w:rPr>
          <w:iCs/>
          <w:color w:val="auto"/>
        </w:rPr>
        <w:t xml:space="preserve"> (vgl. Sirius-Fall BGHSt 32, 38)</w:t>
      </w:r>
    </w:p>
    <w:p w14:paraId="45299085" w14:textId="77777777" w:rsidR="006539CC" w:rsidRPr="007D16DF" w:rsidRDefault="006539CC" w:rsidP="006539CC">
      <w:pPr>
        <w:pStyle w:val="SchemaDefinitionenHeader"/>
        <w:ind w:left="3540"/>
        <w:rPr>
          <w:iCs/>
          <w:color w:val="auto"/>
        </w:rPr>
      </w:pPr>
    </w:p>
    <w:p w14:paraId="37C91BA2" w14:textId="77777777" w:rsidR="00582E31" w:rsidRPr="007D16DF" w:rsidRDefault="006539CC" w:rsidP="00582E31">
      <w:pPr>
        <w:pStyle w:val="SchemaDefinitionenHeader"/>
        <w:numPr>
          <w:ilvl w:val="4"/>
          <w:numId w:val="29"/>
        </w:numPr>
        <w:rPr>
          <w:iCs/>
          <w:color w:val="auto"/>
        </w:rPr>
      </w:pPr>
      <w:r w:rsidRPr="007D16DF">
        <w:rPr>
          <w:iCs/>
          <w:color w:val="auto"/>
        </w:rPr>
        <w:t>Vorsatzlos oder absichtslos</w:t>
      </w:r>
    </w:p>
    <w:p w14:paraId="1A75C3F0" w14:textId="577D6CF2" w:rsidR="001063B2" w:rsidRPr="007D16DF" w:rsidRDefault="006539CC" w:rsidP="00582E31">
      <w:pPr>
        <w:pStyle w:val="SchemaDefinitionenHeader"/>
        <w:ind w:left="3960"/>
        <w:rPr>
          <w:iCs/>
          <w:color w:val="auto"/>
        </w:rPr>
      </w:pPr>
      <w:r w:rsidRPr="007D16DF">
        <w:rPr>
          <w:i/>
          <w:color w:val="auto"/>
        </w:rPr>
        <w:t>Bsp.:</w:t>
      </w:r>
      <w:r w:rsidRPr="007D16DF">
        <w:rPr>
          <w:iCs/>
          <w:color w:val="auto"/>
        </w:rPr>
        <w:t xml:space="preserve"> </w:t>
      </w:r>
      <w:r w:rsidR="001063B2" w:rsidRPr="007D16DF">
        <w:rPr>
          <w:iCs/>
          <w:color w:val="auto"/>
        </w:rPr>
        <w:t>Der mittelbare Täter T sagt dem Vordermann V wahrheitswidrig, dass der Mantel an der Eingangstür ihm gehöre und bittet V ihn beim Verlassen der Wohnung mitzunehmen.</w:t>
      </w:r>
    </w:p>
    <w:p w14:paraId="01C96E4A" w14:textId="2949FFF5" w:rsidR="001063B2" w:rsidRPr="007D16DF" w:rsidRDefault="00D64B47">
      <w:pPr>
        <w:pStyle w:val="SchemaDefinitionenHeader"/>
        <w:ind w:left="3960"/>
        <w:rPr>
          <w:color w:val="auto"/>
        </w:rPr>
      </w:pPr>
      <w:r w:rsidRPr="007D16DF">
        <w:rPr>
          <w:color w:val="auto"/>
        </w:rPr>
        <w:t xml:space="preserve">V erfüllt zwar den objektiven Tatbestand des </w:t>
      </w:r>
      <w:r w:rsidRPr="007D16DF">
        <w:rPr>
          <w:color w:val="auto"/>
        </w:rPr>
        <w:br/>
        <w:t xml:space="preserve">§ 242 StGB, allerdings fehlt es an einem entsprechenden Vorsatz. Immerhin wusste V nicht, dass er einen Gewahrsamsbruch und somit eine </w:t>
      </w:r>
      <w:proofErr w:type="spellStart"/>
      <w:r w:rsidRPr="007D16DF">
        <w:rPr>
          <w:color w:val="auto"/>
        </w:rPr>
        <w:t>Wegnahmehandlung</w:t>
      </w:r>
      <w:proofErr w:type="spellEnd"/>
      <w:r w:rsidRPr="007D16DF">
        <w:rPr>
          <w:color w:val="auto"/>
        </w:rPr>
        <w:t xml:space="preserve"> beging. Er unterliegt einem </w:t>
      </w:r>
      <w:r w:rsidR="001063B2" w:rsidRPr="007D16DF">
        <w:rPr>
          <w:iCs/>
          <w:color w:val="auto"/>
        </w:rPr>
        <w:t>vorsatzausschließenden Tatbestandsirrtum nach § 16 StGB.</w:t>
      </w:r>
    </w:p>
    <w:p w14:paraId="3F0E0E91" w14:textId="77777777" w:rsidR="006539CC" w:rsidRPr="007D16DF" w:rsidRDefault="006539CC" w:rsidP="00161613">
      <w:pPr>
        <w:pStyle w:val="SchemaDefinitionenHeader"/>
        <w:rPr>
          <w:iCs/>
          <w:color w:val="auto"/>
        </w:rPr>
      </w:pPr>
    </w:p>
    <w:p w14:paraId="30AC74BB" w14:textId="77777777" w:rsidR="00582E31" w:rsidRPr="007D16DF" w:rsidRDefault="006539CC" w:rsidP="00582E31">
      <w:pPr>
        <w:pStyle w:val="SchemaDefinitionenHeader"/>
        <w:numPr>
          <w:ilvl w:val="4"/>
          <w:numId w:val="29"/>
        </w:numPr>
        <w:rPr>
          <w:iCs/>
          <w:color w:val="auto"/>
        </w:rPr>
      </w:pPr>
      <w:r w:rsidRPr="007D16DF">
        <w:rPr>
          <w:iCs/>
          <w:color w:val="auto"/>
        </w:rPr>
        <w:t>Nicht rechtswidrig</w:t>
      </w:r>
    </w:p>
    <w:p w14:paraId="6EA26921" w14:textId="4DE9D03C" w:rsidR="006539CC" w:rsidRPr="007D16DF" w:rsidRDefault="006539CC" w:rsidP="00582E31">
      <w:pPr>
        <w:pStyle w:val="SchemaDefinitionenHeader"/>
        <w:ind w:left="3960"/>
        <w:rPr>
          <w:iCs/>
          <w:color w:val="auto"/>
        </w:rPr>
      </w:pPr>
      <w:r w:rsidRPr="007D16DF">
        <w:rPr>
          <w:i/>
          <w:color w:val="auto"/>
        </w:rPr>
        <w:t>Bsp.:</w:t>
      </w:r>
      <w:r w:rsidRPr="007D16DF">
        <w:rPr>
          <w:iCs/>
          <w:color w:val="auto"/>
        </w:rPr>
        <w:t xml:space="preserve"> </w:t>
      </w:r>
      <w:r w:rsidR="00A36126" w:rsidRPr="007D16DF">
        <w:rPr>
          <w:iCs/>
          <w:color w:val="auto"/>
        </w:rPr>
        <w:t xml:space="preserve">Der </w:t>
      </w:r>
      <w:r w:rsidRPr="007D16DF">
        <w:rPr>
          <w:iCs/>
          <w:color w:val="auto"/>
        </w:rPr>
        <w:t>Hintermann provoziert den Hund des Nachbarn, der auf den Vordermann losgeht, dieser wehrt sich in Einklang mit § 34 StGB.</w:t>
      </w:r>
    </w:p>
    <w:p w14:paraId="67A808E1" w14:textId="77777777" w:rsidR="006539CC" w:rsidRPr="007D16DF" w:rsidRDefault="006539CC" w:rsidP="006539CC">
      <w:pPr>
        <w:pStyle w:val="SchemaDefinitionenHeader"/>
        <w:ind w:left="3540"/>
        <w:rPr>
          <w:iCs/>
          <w:color w:val="auto"/>
        </w:rPr>
      </w:pPr>
    </w:p>
    <w:p w14:paraId="7CB7DFE0" w14:textId="77777777" w:rsidR="00582E31" w:rsidRPr="007D16DF" w:rsidRDefault="006539CC" w:rsidP="00582E31">
      <w:pPr>
        <w:pStyle w:val="SchemaDefinitionenHeader"/>
        <w:numPr>
          <w:ilvl w:val="4"/>
          <w:numId w:val="29"/>
        </w:numPr>
        <w:rPr>
          <w:iCs/>
          <w:color w:val="auto"/>
        </w:rPr>
      </w:pPr>
      <w:r w:rsidRPr="007D16DF">
        <w:rPr>
          <w:iCs/>
          <w:color w:val="auto"/>
        </w:rPr>
        <w:t>Schuldlos bzw. vermindert schuldfähig handelt</w:t>
      </w:r>
    </w:p>
    <w:p w14:paraId="506DAB15" w14:textId="5BF26B3C" w:rsidR="00582E31" w:rsidRPr="007D16DF" w:rsidRDefault="006539CC" w:rsidP="00582E31">
      <w:pPr>
        <w:pStyle w:val="SchemaDefinitionenHeader"/>
        <w:ind w:left="3960"/>
        <w:rPr>
          <w:iCs/>
          <w:color w:val="auto"/>
        </w:rPr>
      </w:pPr>
      <w:r w:rsidRPr="007D16DF">
        <w:rPr>
          <w:i/>
          <w:color w:val="auto"/>
        </w:rPr>
        <w:t xml:space="preserve">Bsp.: </w:t>
      </w:r>
      <w:r w:rsidR="00A36126" w:rsidRPr="007D16DF">
        <w:rPr>
          <w:i/>
          <w:color w:val="auto"/>
        </w:rPr>
        <w:t xml:space="preserve">Der </w:t>
      </w:r>
      <w:r w:rsidRPr="007D16DF">
        <w:rPr>
          <w:color w:val="auto"/>
        </w:rPr>
        <w:t xml:space="preserve">Vordermann ist nicht strafmündig, </w:t>
      </w:r>
      <w:r w:rsidR="00A36126" w:rsidRPr="007D16DF">
        <w:rPr>
          <w:color w:val="auto"/>
        </w:rPr>
        <w:br/>
      </w:r>
      <w:r w:rsidRPr="007D16DF">
        <w:rPr>
          <w:color w:val="auto"/>
        </w:rPr>
        <w:t>§ 19 StGB.</w:t>
      </w:r>
    </w:p>
    <w:p w14:paraId="7AB59A6E" w14:textId="05DBF4B9" w:rsidR="00582E31" w:rsidRPr="007D16DF" w:rsidRDefault="006539CC" w:rsidP="00582E31">
      <w:pPr>
        <w:pStyle w:val="SchemaDefinitionenHeader"/>
        <w:ind w:left="3960"/>
        <w:rPr>
          <w:iCs/>
          <w:color w:val="auto"/>
        </w:rPr>
      </w:pPr>
      <w:r w:rsidRPr="007D16DF">
        <w:rPr>
          <w:i/>
          <w:color w:val="auto"/>
        </w:rPr>
        <w:t>Bsp.</w:t>
      </w:r>
      <w:r w:rsidRPr="007D16DF">
        <w:rPr>
          <w:color w:val="auto"/>
        </w:rPr>
        <w:t xml:space="preserve">: A, </w:t>
      </w:r>
      <w:r w:rsidR="00A36126" w:rsidRPr="007D16DF">
        <w:rPr>
          <w:color w:val="auto"/>
        </w:rPr>
        <w:t xml:space="preserve">sieht den heraneilenden B, den er noch nie </w:t>
      </w:r>
      <w:r w:rsidR="008C1FBC" w:rsidRPr="007D16DF">
        <w:rPr>
          <w:color w:val="auto"/>
        </w:rPr>
        <w:t xml:space="preserve">gut </w:t>
      </w:r>
      <w:r w:rsidR="00A36126" w:rsidRPr="007D16DF">
        <w:rPr>
          <w:color w:val="auto"/>
        </w:rPr>
        <w:t xml:space="preserve">leiden konnte und sagt </w:t>
      </w:r>
      <w:r w:rsidR="008C1FBC" w:rsidRPr="007D16DF">
        <w:rPr>
          <w:color w:val="auto"/>
        </w:rPr>
        <w:t xml:space="preserve">dem neben ihm stehenden C, dass B </w:t>
      </w:r>
      <w:r w:rsidRPr="007D16DF">
        <w:rPr>
          <w:color w:val="auto"/>
        </w:rPr>
        <w:t>den C verprügeln</w:t>
      </w:r>
      <w:r w:rsidR="008C1FBC" w:rsidRPr="007D16DF">
        <w:rPr>
          <w:color w:val="auto"/>
        </w:rPr>
        <w:t xml:space="preserve"> möchte</w:t>
      </w:r>
      <w:r w:rsidRPr="007D16DF">
        <w:rPr>
          <w:color w:val="auto"/>
        </w:rPr>
        <w:t xml:space="preserve">. C, der den B nicht gut </w:t>
      </w:r>
      <w:r w:rsidR="008C1FBC" w:rsidRPr="007D16DF">
        <w:rPr>
          <w:color w:val="auto"/>
        </w:rPr>
        <w:t>erkennen kann</w:t>
      </w:r>
      <w:r w:rsidRPr="007D16DF">
        <w:rPr>
          <w:color w:val="auto"/>
        </w:rPr>
        <w:t>, will sich verteidigen und schlägt zu (Hervorrufen eines ETBI).</w:t>
      </w:r>
    </w:p>
    <w:p w14:paraId="0683453A" w14:textId="18B45075" w:rsidR="006539CC" w:rsidRPr="007D16DF" w:rsidRDefault="006539CC" w:rsidP="00582E31">
      <w:pPr>
        <w:pStyle w:val="SchemaDefinitionenHeader"/>
        <w:ind w:left="3960"/>
        <w:rPr>
          <w:iCs/>
          <w:color w:val="auto"/>
        </w:rPr>
      </w:pPr>
      <w:r w:rsidRPr="007D16DF">
        <w:rPr>
          <w:i/>
          <w:color w:val="auto"/>
        </w:rPr>
        <w:lastRenderedPageBreak/>
        <w:t>Bsp.</w:t>
      </w:r>
      <w:r w:rsidRPr="007D16DF">
        <w:rPr>
          <w:color w:val="auto"/>
        </w:rPr>
        <w:t xml:space="preserve">: </w:t>
      </w:r>
      <w:r w:rsidR="00A36126" w:rsidRPr="007D16DF">
        <w:rPr>
          <w:color w:val="auto"/>
        </w:rPr>
        <w:t>Der g</w:t>
      </w:r>
      <w:r w:rsidRPr="007D16DF">
        <w:rPr>
          <w:color w:val="auto"/>
        </w:rPr>
        <w:t>eschätzte Anwalt A sagt zu seinem Mandanten, dass er auch vor Gericht falsch aussagen kann, wenn er bereits bei der Polizei gelogen hat (unvermeidbarer Verbotsirrtum).</w:t>
      </w:r>
    </w:p>
    <w:p w14:paraId="75037E3C" w14:textId="77777777" w:rsidR="006539CC" w:rsidRPr="007D16DF" w:rsidRDefault="006539CC" w:rsidP="006539CC">
      <w:pPr>
        <w:pStyle w:val="SchemaDefinitionenHeader"/>
        <w:ind w:left="3540"/>
        <w:rPr>
          <w:color w:val="auto"/>
        </w:rPr>
      </w:pPr>
    </w:p>
    <w:p w14:paraId="220EBE88" w14:textId="65665F49" w:rsidR="006539CC" w:rsidRPr="007D16DF" w:rsidRDefault="006539CC" w:rsidP="006539CC">
      <w:pPr>
        <w:pStyle w:val="SchemaDefinitionenHeader"/>
        <w:ind w:left="4248"/>
        <w:rPr>
          <w:color w:val="auto"/>
        </w:rPr>
      </w:pPr>
      <w:r w:rsidRPr="007D16DF">
        <w:rPr>
          <w:b/>
          <w:bCs/>
          <w:color w:val="auto"/>
        </w:rPr>
        <w:t>P:</w:t>
      </w:r>
      <w:r w:rsidRPr="007D16DF">
        <w:rPr>
          <w:color w:val="auto"/>
        </w:rPr>
        <w:t xml:space="preserve"> Abgrenzung Mittelbare Täterschaft zu Anstiftung</w:t>
      </w:r>
      <w:r w:rsidR="002773C6" w:rsidRPr="007D16DF">
        <w:rPr>
          <w:color w:val="auto"/>
        </w:rPr>
        <w:t>:</w:t>
      </w:r>
    </w:p>
    <w:p w14:paraId="3F63E883" w14:textId="2A627EA3" w:rsidR="002773C6" w:rsidRPr="007D16DF" w:rsidRDefault="00FC11E5" w:rsidP="006539CC">
      <w:pPr>
        <w:pStyle w:val="SchemaDefinitionenHeader"/>
        <w:ind w:left="4248"/>
        <w:rPr>
          <w:color w:val="auto"/>
        </w:rPr>
      </w:pPr>
      <w:r w:rsidRPr="007D16DF">
        <w:rPr>
          <w:color w:val="auto"/>
        </w:rPr>
        <w:t>In manchen Fällen ist es schwierig abzugrenzen, ob die zu prüfende Person Täter oder Teilnehmer ist. Insbesondere sind häufig Anstiftung und mittelbare Täterschaft sowie Beihilfe und Mittäterschaft schwierig voneinander abzugrenzen. In solchen Fällen gilt stets: Täterschaft vor Teiln</w:t>
      </w:r>
      <w:r w:rsidR="00D67F1C" w:rsidRPr="007D16DF">
        <w:rPr>
          <w:color w:val="auto"/>
        </w:rPr>
        <w:t>a</w:t>
      </w:r>
      <w:r w:rsidRPr="007D16DF">
        <w:rPr>
          <w:color w:val="auto"/>
        </w:rPr>
        <w:t xml:space="preserve">hme. Zuerst prüft man eine Strafbarkeit wegen einer täterschaftlichen Beteiligung und nur dann, wenn keine Täterschaft vorliegt, geht man zur </w:t>
      </w:r>
      <w:r w:rsidR="007D16DF" w:rsidRPr="007D16DF">
        <w:rPr>
          <w:color w:val="auto"/>
        </w:rPr>
        <w:t xml:space="preserve">Prüfung der </w:t>
      </w:r>
      <w:r w:rsidRPr="007D16DF">
        <w:rPr>
          <w:color w:val="auto"/>
        </w:rPr>
        <w:t xml:space="preserve">Teilnahme über. </w:t>
      </w:r>
    </w:p>
    <w:p w14:paraId="5322B3A5" w14:textId="3BC86429" w:rsidR="00937567" w:rsidRPr="007D16DF" w:rsidRDefault="00937567" w:rsidP="006539CC">
      <w:pPr>
        <w:pStyle w:val="SchemaDefinitionenHeader"/>
        <w:ind w:left="4248"/>
        <w:rPr>
          <w:color w:val="auto"/>
        </w:rPr>
      </w:pPr>
      <w:r w:rsidRPr="007D16DF">
        <w:rPr>
          <w:color w:val="auto"/>
        </w:rPr>
        <w:t>Zur Abgrenzung von Täterschaft und Teilnahme gibt es zwei wesentliche Ansätze: Die Tatherrschaftslehre (</w:t>
      </w:r>
      <w:proofErr w:type="spellStart"/>
      <w:r w:rsidRPr="007D16DF">
        <w:rPr>
          <w:color w:val="auto"/>
        </w:rPr>
        <w:t>h.L</w:t>
      </w:r>
      <w:proofErr w:type="spellEnd"/>
      <w:r w:rsidRPr="007D16DF">
        <w:rPr>
          <w:color w:val="auto"/>
        </w:rPr>
        <w:t>.) und die normative Kombinationstheorie (BGH), die teilweise auch subjektive Theorie genannt wird.</w:t>
      </w:r>
      <w:r w:rsidR="00D67F1C" w:rsidRPr="007D16DF">
        <w:rPr>
          <w:color w:val="auto"/>
        </w:rPr>
        <w:t xml:space="preserve"> Jede dieser Theorien stellt unterschiedliche Anforderungen daran, unter welchen Voraussetzungen jemand Täter oder Teilnehmer ist. </w:t>
      </w:r>
    </w:p>
    <w:p w14:paraId="11B75C8D" w14:textId="42665707" w:rsidR="00D91E46" w:rsidRPr="007D16DF" w:rsidRDefault="00D91E46" w:rsidP="006539CC">
      <w:pPr>
        <w:pStyle w:val="SchemaDefinitionenHeader"/>
        <w:ind w:left="4248"/>
        <w:rPr>
          <w:color w:val="auto"/>
        </w:rPr>
      </w:pPr>
    </w:p>
    <w:p w14:paraId="6B257E28" w14:textId="7B260269" w:rsidR="00D91E46" w:rsidRPr="007D16DF" w:rsidRDefault="00D91E46" w:rsidP="006539CC">
      <w:pPr>
        <w:pStyle w:val="SchemaDefinitionenHeader"/>
        <w:ind w:left="4248"/>
        <w:rPr>
          <w:i/>
          <w:iCs/>
          <w:color w:val="auto"/>
        </w:rPr>
      </w:pPr>
      <w:r w:rsidRPr="007D16DF">
        <w:rPr>
          <w:i/>
          <w:iCs/>
          <w:color w:val="auto"/>
        </w:rPr>
        <w:t>Meinung 1 / Tatherrschaftslehre:</w:t>
      </w:r>
    </w:p>
    <w:p w14:paraId="339D47DE" w14:textId="23626C3B" w:rsidR="00D67F1C" w:rsidRPr="007D16DF" w:rsidRDefault="00D67F1C" w:rsidP="007D16DF">
      <w:pPr>
        <w:pStyle w:val="SchemaDefinitionenHeader"/>
        <w:ind w:left="4248"/>
        <w:rPr>
          <w:color w:val="auto"/>
        </w:rPr>
      </w:pPr>
      <w:r w:rsidRPr="007D16DF">
        <w:rPr>
          <w:color w:val="auto"/>
        </w:rPr>
        <w:t xml:space="preserve">Nach der Tatherrschaftslehre ist Täter, wer </w:t>
      </w:r>
      <w:r w:rsidR="007D16DF" w:rsidRPr="007D16DF">
        <w:rPr>
          <w:color w:val="auto"/>
        </w:rPr>
        <w:t>allein</w:t>
      </w:r>
      <w:r w:rsidR="000F08E4" w:rsidRPr="007D16DF">
        <w:rPr>
          <w:color w:val="auto"/>
        </w:rPr>
        <w:t xml:space="preserve"> </w:t>
      </w:r>
      <w:r w:rsidRPr="007D16DF">
        <w:rPr>
          <w:color w:val="auto"/>
        </w:rPr>
        <w:t>oder mit anderen zusammen die Tatbestandsverwirklichung beherrscht. Der Täter muss den tatbestandlichen Geschehensablauf "in den Händen halten" und dementsprechend Einfluss auf den Geschehensablauf haben. Hat er dies nicht, ist er lediglich Teilnehmer (Anstifter oder Gehilfe)</w:t>
      </w:r>
      <w:r w:rsidR="000F08E4" w:rsidRPr="007D16DF">
        <w:rPr>
          <w:color w:val="auto"/>
        </w:rPr>
        <w:t xml:space="preserve"> (</w:t>
      </w:r>
      <w:r w:rsidR="00C02B20" w:rsidRPr="007D16DF">
        <w:rPr>
          <w:color w:val="auto"/>
        </w:rPr>
        <w:t>Roxin, Täterschaft und Teilnahme, 10. Auflage 2019, II, 25/27).</w:t>
      </w:r>
    </w:p>
    <w:p w14:paraId="70F0F8E6" w14:textId="77777777" w:rsidR="00D91E46" w:rsidRPr="007D16DF" w:rsidRDefault="00D91E46" w:rsidP="006539CC">
      <w:pPr>
        <w:pStyle w:val="SchemaDefinitionenHeader"/>
        <w:ind w:left="4248"/>
        <w:rPr>
          <w:color w:val="auto"/>
        </w:rPr>
      </w:pPr>
    </w:p>
    <w:p w14:paraId="135CE057" w14:textId="4CA7CE28" w:rsidR="00D91E46" w:rsidRPr="007D16DF" w:rsidRDefault="00D91E46" w:rsidP="007D16DF">
      <w:pPr>
        <w:pStyle w:val="SchemaDefinitionenHeader"/>
        <w:ind w:left="4248" w:firstLine="708"/>
        <w:rPr>
          <w:i/>
          <w:iCs/>
          <w:color w:val="auto"/>
        </w:rPr>
      </w:pPr>
      <w:r w:rsidRPr="007D16DF">
        <w:rPr>
          <w:i/>
          <w:iCs/>
          <w:color w:val="auto"/>
        </w:rPr>
        <w:lastRenderedPageBreak/>
        <w:t>Argumente:</w:t>
      </w:r>
    </w:p>
    <w:p w14:paraId="3EC4194B" w14:textId="008542B6" w:rsidR="00D67F1C" w:rsidRPr="007D16DF" w:rsidRDefault="000F08E4" w:rsidP="007D16DF">
      <w:pPr>
        <w:pStyle w:val="SchemaDefinitionenHeader"/>
        <w:ind w:left="4956"/>
        <w:rPr>
          <w:color w:val="auto"/>
        </w:rPr>
      </w:pPr>
      <w:r w:rsidRPr="007D16DF">
        <w:rPr>
          <w:color w:val="auto"/>
        </w:rPr>
        <w:t>Für die Tatherrschaftslehre spricht, dass sie durch klare, äußerlich erkennbare Kriterien ein hohes Maß an Rechtssicherheit gewährleistet.</w:t>
      </w:r>
    </w:p>
    <w:p w14:paraId="1A537ED9" w14:textId="184CA005" w:rsidR="000F08E4" w:rsidRPr="007D16DF" w:rsidRDefault="000F08E4" w:rsidP="006539CC">
      <w:pPr>
        <w:pStyle w:val="SchemaDefinitionenHeader"/>
        <w:ind w:left="4248"/>
        <w:rPr>
          <w:i/>
          <w:iCs/>
          <w:color w:val="auto"/>
        </w:rPr>
      </w:pPr>
    </w:p>
    <w:p w14:paraId="4EA39324" w14:textId="077B6E87" w:rsidR="00D91E46" w:rsidRPr="007D16DF" w:rsidRDefault="00D91E46" w:rsidP="006539CC">
      <w:pPr>
        <w:pStyle w:val="SchemaDefinitionenHeader"/>
        <w:ind w:left="4248"/>
        <w:rPr>
          <w:i/>
          <w:iCs/>
          <w:color w:val="auto"/>
        </w:rPr>
      </w:pPr>
      <w:r w:rsidRPr="007D16DF">
        <w:rPr>
          <w:i/>
          <w:iCs/>
          <w:color w:val="auto"/>
        </w:rPr>
        <w:t>Meinung 2 / Normative Kombinationstheorie:</w:t>
      </w:r>
    </w:p>
    <w:p w14:paraId="1561E6CD" w14:textId="4047441C" w:rsidR="00E71E80" w:rsidRPr="007D16DF" w:rsidRDefault="00E71E80" w:rsidP="007D16DF">
      <w:pPr>
        <w:pStyle w:val="SchemaDefinitionenHeader"/>
        <w:ind w:left="4248"/>
        <w:rPr>
          <w:color w:val="auto"/>
        </w:rPr>
      </w:pPr>
      <w:r w:rsidRPr="007D16DF">
        <w:rPr>
          <w:color w:val="auto"/>
        </w:rPr>
        <w:t xml:space="preserve">Nach der normativen Kombinationstheorie des BGH ist Täter, wer die Tat als eigene will (sog. </w:t>
      </w:r>
      <w:proofErr w:type="spellStart"/>
      <w:r w:rsidRPr="007D16DF">
        <w:rPr>
          <w:i/>
          <w:iCs/>
          <w:color w:val="auto"/>
        </w:rPr>
        <w:t>animus</w:t>
      </w:r>
      <w:proofErr w:type="spellEnd"/>
      <w:r w:rsidRPr="007D16DF">
        <w:rPr>
          <w:i/>
          <w:iCs/>
          <w:color w:val="auto"/>
        </w:rPr>
        <w:t xml:space="preserve"> </w:t>
      </w:r>
      <w:proofErr w:type="spellStart"/>
      <w:r w:rsidRPr="007D16DF">
        <w:rPr>
          <w:i/>
          <w:iCs/>
          <w:color w:val="auto"/>
        </w:rPr>
        <w:t>auctoris</w:t>
      </w:r>
      <w:proofErr w:type="spellEnd"/>
      <w:r w:rsidRPr="007D16DF">
        <w:rPr>
          <w:color w:val="auto"/>
        </w:rPr>
        <w:t>). Indizien hierfür sind der Wille des Täters zur Tatherrschaft (subjektiv), das Gefühl der Mitverantwortlichkeit für das Gelingen der Tat (subjektiv), der Umfang der Tatbeteiligung (objektiv) und die Tatherrschaft (objektiv).</w:t>
      </w:r>
      <w:r w:rsidR="00802DEB" w:rsidRPr="007D16DF">
        <w:rPr>
          <w:color w:val="auto"/>
        </w:rPr>
        <w:t xml:space="preserve"> Diese Theorie zieht bei der Frage nach der Täterqualität also subjektive und objektive Kriterien heran</w:t>
      </w:r>
      <w:r w:rsidR="00960961" w:rsidRPr="007D16DF">
        <w:rPr>
          <w:color w:val="auto"/>
        </w:rPr>
        <w:t xml:space="preserve"> (Fischer, 67. Aufl. 2020, StGB § 25 </w:t>
      </w:r>
      <w:proofErr w:type="spellStart"/>
      <w:r w:rsidR="00960961" w:rsidRPr="007D16DF">
        <w:rPr>
          <w:color w:val="auto"/>
        </w:rPr>
        <w:t>Rn</w:t>
      </w:r>
      <w:proofErr w:type="spellEnd"/>
      <w:r w:rsidR="00960961" w:rsidRPr="007D16DF">
        <w:rPr>
          <w:color w:val="auto"/>
        </w:rPr>
        <w:t xml:space="preserve">. 26 f.). </w:t>
      </w:r>
    </w:p>
    <w:p w14:paraId="500BAE0C" w14:textId="39EAA60F" w:rsidR="002005B4" w:rsidRPr="007D16DF" w:rsidRDefault="00E71E80" w:rsidP="002005B4">
      <w:pPr>
        <w:pStyle w:val="SchemaDefinitionenHeader"/>
        <w:ind w:left="4248"/>
        <w:rPr>
          <w:color w:val="auto"/>
        </w:rPr>
      </w:pPr>
      <w:r w:rsidRPr="007D16DF">
        <w:rPr>
          <w:color w:val="auto"/>
        </w:rPr>
        <w:t>Teilnehme</w:t>
      </w:r>
      <w:r w:rsidR="00802DEB" w:rsidRPr="007D16DF">
        <w:rPr>
          <w:color w:val="auto"/>
        </w:rPr>
        <w:t>r nach der normativen Kombinationstheorie</w:t>
      </w:r>
      <w:r w:rsidRPr="007D16DF">
        <w:rPr>
          <w:color w:val="auto"/>
        </w:rPr>
        <w:t xml:space="preserve"> ist, wer die Tat als fremde Tat will (</w:t>
      </w:r>
      <w:proofErr w:type="spellStart"/>
      <w:r w:rsidRPr="007D16DF">
        <w:rPr>
          <w:i/>
          <w:iCs/>
          <w:color w:val="auto"/>
        </w:rPr>
        <w:t>animus</w:t>
      </w:r>
      <w:proofErr w:type="spellEnd"/>
      <w:r w:rsidRPr="007D16DF">
        <w:rPr>
          <w:i/>
          <w:iCs/>
          <w:color w:val="auto"/>
        </w:rPr>
        <w:t xml:space="preserve"> </w:t>
      </w:r>
      <w:proofErr w:type="spellStart"/>
      <w:r w:rsidRPr="007D16DF">
        <w:rPr>
          <w:i/>
          <w:iCs/>
          <w:color w:val="auto"/>
        </w:rPr>
        <w:t>socii</w:t>
      </w:r>
      <w:proofErr w:type="spellEnd"/>
      <w:r w:rsidRPr="007D16DF">
        <w:rPr>
          <w:color w:val="auto"/>
        </w:rPr>
        <w:t>), indem er seinen Beitrag dem Willen eines anderen unterordnen will</w:t>
      </w:r>
      <w:r w:rsidR="0085349E" w:rsidRPr="007D16DF">
        <w:rPr>
          <w:color w:val="auto"/>
        </w:rPr>
        <w:t xml:space="preserve"> </w:t>
      </w:r>
      <w:r w:rsidR="00F83B6B" w:rsidRPr="007D16DF">
        <w:rPr>
          <w:color w:val="auto"/>
        </w:rPr>
        <w:t>(NStZ 1995, 285).</w:t>
      </w:r>
    </w:p>
    <w:p w14:paraId="79F15D9F" w14:textId="3BA1843D" w:rsidR="00D91E46" w:rsidRPr="007D16DF" w:rsidRDefault="00D91E46" w:rsidP="002005B4">
      <w:pPr>
        <w:pStyle w:val="SchemaDefinitionenHeader"/>
        <w:ind w:left="4248"/>
        <w:rPr>
          <w:color w:val="auto"/>
        </w:rPr>
      </w:pPr>
    </w:p>
    <w:p w14:paraId="3E5AEC28" w14:textId="2952A90C" w:rsidR="00D91E46" w:rsidRPr="007D16DF" w:rsidRDefault="00D91E46" w:rsidP="007D16DF">
      <w:pPr>
        <w:pStyle w:val="SchemaDefinitionenHeader"/>
        <w:ind w:left="4248" w:firstLine="708"/>
        <w:rPr>
          <w:i/>
          <w:iCs/>
          <w:color w:val="auto"/>
        </w:rPr>
      </w:pPr>
      <w:r w:rsidRPr="007D16DF">
        <w:rPr>
          <w:i/>
          <w:iCs/>
          <w:color w:val="auto"/>
        </w:rPr>
        <w:t>Argumente:</w:t>
      </w:r>
    </w:p>
    <w:p w14:paraId="12709301" w14:textId="78EA9BAC" w:rsidR="002005B4" w:rsidRPr="007D16DF" w:rsidRDefault="002005B4" w:rsidP="007D16DF">
      <w:pPr>
        <w:pStyle w:val="SchemaDefinitionenHeader"/>
        <w:ind w:left="4956"/>
        <w:rPr>
          <w:color w:val="auto"/>
        </w:rPr>
      </w:pPr>
      <w:r w:rsidRPr="007D16DF">
        <w:rPr>
          <w:color w:val="auto"/>
        </w:rPr>
        <w:t xml:space="preserve">Für die normative Kombinationstheorie spricht, dass sie eine hohe Einzelfallgerechtigkeit </w:t>
      </w:r>
      <w:r w:rsidR="000730EF" w:rsidRPr="007D16DF">
        <w:rPr>
          <w:color w:val="auto"/>
        </w:rPr>
        <w:t>gewährleistet</w:t>
      </w:r>
      <w:r w:rsidRPr="007D16DF">
        <w:rPr>
          <w:color w:val="auto"/>
        </w:rPr>
        <w:t>, da alle vorliegenden Umstände mit einbezogen werden (subjektiv wie objektiv). Anhänger dieser Theorie argumentieren außerdem, dass die Tatherrschaftslehre im Widerspruch zur conditio-sine-qua-non-Regel steht, wonach alle Kriterien, subjektiv wie objektiv, für die Strafbarkeit gleichwertig relevant sind.</w:t>
      </w:r>
    </w:p>
    <w:p w14:paraId="5B63111D" w14:textId="77777777" w:rsidR="007D16DF" w:rsidRPr="007D16DF" w:rsidRDefault="007D16DF" w:rsidP="007D16DF">
      <w:pPr>
        <w:pStyle w:val="SchemaDefinitionenHeader"/>
        <w:ind w:left="4956"/>
        <w:rPr>
          <w:color w:val="auto"/>
        </w:rPr>
      </w:pPr>
    </w:p>
    <w:p w14:paraId="0889AC74" w14:textId="11DEDED1" w:rsidR="000F08E4" w:rsidRPr="007D16DF" w:rsidRDefault="00DA6294" w:rsidP="006539CC">
      <w:pPr>
        <w:pStyle w:val="SchemaDefinitionenHeader"/>
        <w:ind w:left="4248"/>
        <w:rPr>
          <w:color w:val="auto"/>
        </w:rPr>
      </w:pPr>
      <w:r w:rsidRPr="007D16DF">
        <w:rPr>
          <w:color w:val="auto"/>
        </w:rPr>
        <w:lastRenderedPageBreak/>
        <w:t xml:space="preserve">Natürlich kann man beiden Theorien im Gutachten folgen. Wichtig ist </w:t>
      </w:r>
      <w:r w:rsidR="007D16DF" w:rsidRPr="007D16DF">
        <w:rPr>
          <w:color w:val="auto"/>
        </w:rPr>
        <w:t xml:space="preserve">– </w:t>
      </w:r>
      <w:r w:rsidRPr="007D16DF">
        <w:rPr>
          <w:color w:val="auto"/>
        </w:rPr>
        <w:t xml:space="preserve">wie immer </w:t>
      </w:r>
      <w:r w:rsidR="007D16DF" w:rsidRPr="007D16DF">
        <w:rPr>
          <w:color w:val="auto"/>
        </w:rPr>
        <w:t xml:space="preserve">– </w:t>
      </w:r>
      <w:r w:rsidRPr="007D16DF">
        <w:rPr>
          <w:color w:val="auto"/>
        </w:rPr>
        <w:t>die Argumentation, w</w:t>
      </w:r>
      <w:r w:rsidR="007D16DF" w:rsidRPr="007D16DF">
        <w:rPr>
          <w:color w:val="auto"/>
        </w:rPr>
        <w:t>eshalb</w:t>
      </w:r>
      <w:r w:rsidRPr="007D16DF">
        <w:rPr>
          <w:color w:val="auto"/>
        </w:rPr>
        <w:t xml:space="preserve"> man eine Theorie überzeugender findet als die andere.</w:t>
      </w:r>
    </w:p>
    <w:p w14:paraId="2AB02F44" w14:textId="77777777" w:rsidR="006539CC" w:rsidRPr="007D16DF" w:rsidRDefault="006539CC" w:rsidP="006539CC">
      <w:pPr>
        <w:pStyle w:val="SchemaDefinitionenHeader"/>
        <w:ind w:left="1440"/>
        <w:rPr>
          <w:color w:val="auto"/>
        </w:rPr>
      </w:pPr>
    </w:p>
    <w:p w14:paraId="4411FE99" w14:textId="24ABDF80" w:rsidR="006539CC" w:rsidRPr="007D16DF" w:rsidRDefault="006539CC" w:rsidP="006539CC">
      <w:pPr>
        <w:pStyle w:val="SchemaDefinitionenHeader"/>
        <w:ind w:left="2700"/>
        <w:rPr>
          <w:iCs/>
          <w:color w:val="auto"/>
        </w:rPr>
      </w:pPr>
      <w:r w:rsidRPr="007D16DF">
        <w:rPr>
          <w:iCs/>
          <w:color w:val="auto"/>
        </w:rPr>
        <w:t xml:space="preserve">Ein weiteres Problem in diesem Zusammenhang ist der </w:t>
      </w:r>
      <w:r w:rsidR="00A778A2" w:rsidRPr="007D16DF">
        <w:rPr>
          <w:iCs/>
          <w:color w:val="auto"/>
        </w:rPr>
        <w:t>sog. „</w:t>
      </w:r>
      <w:r w:rsidRPr="007D16DF">
        <w:rPr>
          <w:iCs/>
          <w:color w:val="auto"/>
        </w:rPr>
        <w:t>Täter hinter dem Täter</w:t>
      </w:r>
      <w:r w:rsidR="00A778A2" w:rsidRPr="007D16DF">
        <w:rPr>
          <w:iCs/>
          <w:color w:val="auto"/>
        </w:rPr>
        <w:t>“</w:t>
      </w:r>
      <w:r w:rsidRPr="007D16DF">
        <w:rPr>
          <w:iCs/>
          <w:color w:val="auto"/>
        </w:rPr>
        <w:t>.</w:t>
      </w:r>
    </w:p>
    <w:p w14:paraId="01610495" w14:textId="2E16A110" w:rsidR="006539CC" w:rsidRPr="007D16DF" w:rsidRDefault="006539CC" w:rsidP="00582E31">
      <w:pPr>
        <w:pStyle w:val="SchemaDefinitionenHeader"/>
        <w:ind w:left="3408"/>
        <w:rPr>
          <w:iCs/>
          <w:color w:val="auto"/>
        </w:rPr>
      </w:pPr>
      <w:bookmarkStart w:id="9" w:name="Täter_hinter"/>
      <w:r w:rsidRPr="007D16DF">
        <w:rPr>
          <w:b/>
          <w:bCs/>
          <w:iCs/>
          <w:color w:val="auto"/>
        </w:rPr>
        <w:t>P:</w:t>
      </w:r>
      <w:r w:rsidRPr="007D16DF">
        <w:rPr>
          <w:iCs/>
          <w:color w:val="auto"/>
        </w:rPr>
        <w:t xml:space="preserve"> Täter hinter dem Täter</w:t>
      </w:r>
    </w:p>
    <w:bookmarkEnd w:id="9"/>
    <w:p w14:paraId="01F9892C" w14:textId="5EA0DFFD" w:rsidR="006539CC" w:rsidRPr="007D16DF" w:rsidRDefault="004226C6" w:rsidP="006539CC">
      <w:pPr>
        <w:pStyle w:val="SchemaDefinitionenHeader"/>
        <w:ind w:left="3408"/>
        <w:rPr>
          <w:iCs/>
          <w:color w:val="auto"/>
        </w:rPr>
      </w:pPr>
      <w:r w:rsidRPr="007D16DF">
        <w:rPr>
          <w:iCs/>
          <w:color w:val="auto"/>
        </w:rPr>
        <w:t xml:space="preserve">Mit „Täter hinter dem Täter“ werden Fallgruppen beschrieben, in denen sich der Hintermann als mittelbarer Täter voll strafbar macht, obwohl beim Vordermann überhaupt kein Strafbarkeitsdefizit besteht. Bei dieser Konstellation hat man also zwei Täter, einen unmittelbaren (Vordermann) und einen mittelbaren (Hintermann). </w:t>
      </w:r>
    </w:p>
    <w:p w14:paraId="02DA9B98" w14:textId="03C754C1" w:rsidR="00F96174" w:rsidRPr="007D16DF" w:rsidRDefault="00F96174" w:rsidP="006539CC">
      <w:pPr>
        <w:pStyle w:val="SchemaDefinitionenHeader"/>
        <w:ind w:left="3408"/>
        <w:rPr>
          <w:iCs/>
          <w:color w:val="auto"/>
        </w:rPr>
      </w:pPr>
      <w:r w:rsidRPr="007D16DF">
        <w:rPr>
          <w:iCs/>
          <w:color w:val="auto"/>
        </w:rPr>
        <w:t>Ob es einen solchen „Täter hinter dem Täter“ überhaupt geben kann, ist umstritten</w:t>
      </w:r>
      <w:r w:rsidR="001C3249" w:rsidRPr="007D16DF">
        <w:rPr>
          <w:iCs/>
          <w:color w:val="auto"/>
        </w:rPr>
        <w:t xml:space="preserve"> (</w:t>
      </w:r>
      <w:proofErr w:type="spellStart"/>
      <w:r w:rsidR="001C3249" w:rsidRPr="007D16DF">
        <w:rPr>
          <w:color w:val="auto"/>
        </w:rPr>
        <w:t>MüKoStGB</w:t>
      </w:r>
      <w:proofErr w:type="spellEnd"/>
      <w:r w:rsidR="001C3249" w:rsidRPr="007D16DF">
        <w:rPr>
          <w:color w:val="auto"/>
        </w:rPr>
        <w:t xml:space="preserve">/Joecks/Scheinfeld, 4. Aufl. 2020, § 25 </w:t>
      </w:r>
      <w:proofErr w:type="spellStart"/>
      <w:r w:rsidR="001C3249" w:rsidRPr="007D16DF">
        <w:rPr>
          <w:color w:val="auto"/>
        </w:rPr>
        <w:t>Rn</w:t>
      </w:r>
      <w:proofErr w:type="spellEnd"/>
      <w:r w:rsidR="001C3249" w:rsidRPr="007D16DF">
        <w:rPr>
          <w:color w:val="auto"/>
        </w:rPr>
        <w:t>. 111 ff.)</w:t>
      </w:r>
      <w:r w:rsidRPr="007D16DF">
        <w:rPr>
          <w:iCs/>
          <w:color w:val="auto"/>
        </w:rPr>
        <w:t xml:space="preserve">. </w:t>
      </w:r>
      <w:r w:rsidR="00442452" w:rsidRPr="007D16DF">
        <w:rPr>
          <w:iCs/>
          <w:color w:val="auto"/>
        </w:rPr>
        <w:t xml:space="preserve">Im Gutachten empfiehlt es sich, zunächst diesen Streit zu bringen und erst im Anschluss die Fallgruppen des „Täters hinter dem Täter“ zu bringen. </w:t>
      </w:r>
    </w:p>
    <w:p w14:paraId="70D57A4C" w14:textId="0558AE87" w:rsidR="008635C5" w:rsidRPr="007D16DF" w:rsidRDefault="008635C5" w:rsidP="006539CC">
      <w:pPr>
        <w:pStyle w:val="SchemaDefinitionenHeader"/>
        <w:ind w:left="3408"/>
        <w:rPr>
          <w:iCs/>
          <w:color w:val="auto"/>
        </w:rPr>
      </w:pPr>
    </w:p>
    <w:p w14:paraId="3219F806" w14:textId="77777777" w:rsidR="007D16DF" w:rsidRDefault="00D91E46">
      <w:pPr>
        <w:pStyle w:val="SchemaDefinitionenHeader"/>
        <w:ind w:left="4248"/>
        <w:rPr>
          <w:i/>
          <w:color w:val="auto"/>
        </w:rPr>
      </w:pPr>
      <w:r w:rsidRPr="007D16DF">
        <w:rPr>
          <w:i/>
          <w:color w:val="auto"/>
        </w:rPr>
        <w:t>Meinung 1:</w:t>
      </w:r>
    </w:p>
    <w:p w14:paraId="63C543B8" w14:textId="40525880" w:rsidR="00D91E46" w:rsidRPr="007D16DF" w:rsidRDefault="00D32C08">
      <w:pPr>
        <w:pStyle w:val="SchemaDefinitionenHeader"/>
        <w:ind w:left="4248"/>
        <w:rPr>
          <w:iCs/>
          <w:color w:val="auto"/>
        </w:rPr>
      </w:pPr>
      <w:r w:rsidRPr="007D16DF">
        <w:rPr>
          <w:iCs/>
          <w:color w:val="auto"/>
        </w:rPr>
        <w:t xml:space="preserve">Teilweise wird vertreten, dass die Konstellation des „Täters hinter dem Täter“ abzulehnen ist. </w:t>
      </w:r>
    </w:p>
    <w:p w14:paraId="7671D451" w14:textId="1C830BD1" w:rsidR="00D91E46" w:rsidRPr="007D16DF" w:rsidRDefault="00D91E46">
      <w:pPr>
        <w:pStyle w:val="SchemaDefinitionenHeader"/>
        <w:ind w:left="4248"/>
        <w:rPr>
          <w:iCs/>
          <w:color w:val="auto"/>
        </w:rPr>
      </w:pPr>
    </w:p>
    <w:p w14:paraId="6A690406" w14:textId="2493C6C8" w:rsidR="00D91E46" w:rsidRPr="007D16DF" w:rsidRDefault="00D91E46" w:rsidP="007D16DF">
      <w:pPr>
        <w:pStyle w:val="SchemaDefinitionenHeader"/>
        <w:ind w:left="4248" w:firstLine="708"/>
        <w:rPr>
          <w:i/>
          <w:color w:val="auto"/>
        </w:rPr>
      </w:pPr>
      <w:r w:rsidRPr="007D16DF">
        <w:rPr>
          <w:i/>
          <w:color w:val="auto"/>
        </w:rPr>
        <w:t xml:space="preserve">Argumente: </w:t>
      </w:r>
    </w:p>
    <w:p w14:paraId="235AAE1E" w14:textId="69AB0BB6" w:rsidR="008635C5" w:rsidRPr="007D16DF" w:rsidRDefault="008635C5" w:rsidP="007D16DF">
      <w:pPr>
        <w:pStyle w:val="SchemaDefinitionenHeader"/>
        <w:ind w:left="4956"/>
        <w:rPr>
          <w:iCs/>
          <w:color w:val="auto"/>
        </w:rPr>
      </w:pPr>
      <w:r w:rsidRPr="007D16DF">
        <w:rPr>
          <w:iCs/>
          <w:color w:val="auto"/>
        </w:rPr>
        <w:t>Ha</w:t>
      </w:r>
      <w:r w:rsidR="00D91E46" w:rsidRPr="007D16DF">
        <w:rPr>
          <w:iCs/>
          <w:color w:val="auto"/>
        </w:rPr>
        <w:t>t</w:t>
      </w:r>
      <w:r w:rsidRPr="007D16DF">
        <w:rPr>
          <w:iCs/>
          <w:color w:val="auto"/>
        </w:rPr>
        <w:t xml:space="preserve"> der Vordermann als unmittelbar Agierender die Tatverantwortung, kann nicht auch ein anderer als Hintermann diese Tatverantwortung</w:t>
      </w:r>
      <w:r w:rsidR="00D91E46" w:rsidRPr="007D16DF">
        <w:rPr>
          <w:iCs/>
          <w:color w:val="auto"/>
        </w:rPr>
        <w:t xml:space="preserve"> </w:t>
      </w:r>
      <w:r w:rsidRPr="007D16DF">
        <w:rPr>
          <w:iCs/>
          <w:color w:val="auto"/>
        </w:rPr>
        <w:t>haben (Verantwortungsprinzip). Weiterhin sei der Hintermann auch ohne die Konstellation des „Täters hinter dem Täter“ nicht straflos, da er trotzdem wegen Anstiftung gem. § 26 StGB strafbar sein kann</w:t>
      </w:r>
      <w:r w:rsidR="001C3249" w:rsidRPr="007D16DF">
        <w:rPr>
          <w:iCs/>
          <w:color w:val="auto"/>
        </w:rPr>
        <w:t>.</w:t>
      </w:r>
    </w:p>
    <w:p w14:paraId="753EA383" w14:textId="08AE867E" w:rsidR="00D91E46" w:rsidRPr="007D16DF" w:rsidRDefault="00D91E46" w:rsidP="007D16DF">
      <w:pPr>
        <w:pStyle w:val="SchemaDefinitionenHeader"/>
        <w:rPr>
          <w:iCs/>
          <w:color w:val="auto"/>
        </w:rPr>
      </w:pPr>
    </w:p>
    <w:p w14:paraId="321D50E3" w14:textId="0737385B" w:rsidR="006539CC" w:rsidRPr="007D16DF" w:rsidRDefault="00D91E46" w:rsidP="007D16DF">
      <w:pPr>
        <w:pStyle w:val="SchemaDefinitionenHeader"/>
        <w:rPr>
          <w:i/>
          <w:color w:val="auto"/>
        </w:rPr>
      </w:pPr>
      <w:r w:rsidRPr="007D16DF">
        <w:rPr>
          <w:iCs/>
          <w:color w:val="auto"/>
        </w:rPr>
        <w:tab/>
      </w:r>
      <w:r w:rsidRPr="007D16DF">
        <w:rPr>
          <w:iCs/>
          <w:color w:val="auto"/>
        </w:rPr>
        <w:tab/>
      </w:r>
      <w:r w:rsidRPr="007D16DF">
        <w:rPr>
          <w:iCs/>
          <w:color w:val="auto"/>
        </w:rPr>
        <w:tab/>
      </w:r>
      <w:r w:rsidRPr="007D16DF">
        <w:rPr>
          <w:iCs/>
          <w:color w:val="auto"/>
        </w:rPr>
        <w:tab/>
      </w:r>
      <w:r w:rsidRPr="007D16DF">
        <w:rPr>
          <w:iCs/>
          <w:color w:val="auto"/>
        </w:rPr>
        <w:tab/>
      </w:r>
      <w:r w:rsidRPr="007D16DF">
        <w:rPr>
          <w:iCs/>
          <w:color w:val="auto"/>
        </w:rPr>
        <w:tab/>
      </w:r>
      <w:r w:rsidRPr="007D16DF">
        <w:rPr>
          <w:i/>
          <w:color w:val="auto"/>
        </w:rPr>
        <w:t xml:space="preserve">Meinung 2: </w:t>
      </w:r>
    </w:p>
    <w:p w14:paraId="09989362" w14:textId="77777777" w:rsidR="00D91E46" w:rsidRPr="007D16DF" w:rsidRDefault="00F82A20">
      <w:pPr>
        <w:pStyle w:val="SchemaDefinitionenHeader"/>
        <w:ind w:left="4248"/>
        <w:rPr>
          <w:iCs/>
          <w:color w:val="auto"/>
        </w:rPr>
      </w:pPr>
      <w:r w:rsidRPr="007D16DF">
        <w:rPr>
          <w:iCs/>
          <w:color w:val="auto"/>
        </w:rPr>
        <w:t xml:space="preserve">Die Rechtsprechung und Teile der Lehre </w:t>
      </w:r>
      <w:r w:rsidR="00D91E46" w:rsidRPr="007D16DF">
        <w:rPr>
          <w:iCs/>
          <w:color w:val="auto"/>
        </w:rPr>
        <w:t xml:space="preserve">akzeptieren den „Täter hinter dem Täter“. </w:t>
      </w:r>
    </w:p>
    <w:p w14:paraId="5E355C60" w14:textId="77777777" w:rsidR="00D91E46" w:rsidRPr="007D16DF" w:rsidRDefault="00D91E46">
      <w:pPr>
        <w:pStyle w:val="SchemaDefinitionenHeader"/>
        <w:ind w:left="4248"/>
        <w:rPr>
          <w:iCs/>
          <w:color w:val="auto"/>
        </w:rPr>
      </w:pPr>
    </w:p>
    <w:p w14:paraId="79E021B1" w14:textId="5BED46E1" w:rsidR="00D91E46" w:rsidRPr="007D16DF" w:rsidRDefault="00D91E46" w:rsidP="007D16DF">
      <w:pPr>
        <w:pStyle w:val="SchemaDefinitionenHeader"/>
        <w:ind w:left="4248" w:firstLine="708"/>
        <w:rPr>
          <w:i/>
          <w:color w:val="auto"/>
        </w:rPr>
      </w:pPr>
      <w:r w:rsidRPr="007D16DF">
        <w:rPr>
          <w:i/>
          <w:color w:val="auto"/>
        </w:rPr>
        <w:t>Argumente:</w:t>
      </w:r>
    </w:p>
    <w:p w14:paraId="519066D1" w14:textId="2EE244C8" w:rsidR="000B233F" w:rsidRPr="007D16DF" w:rsidRDefault="00D91E46" w:rsidP="007D16DF">
      <w:pPr>
        <w:pStyle w:val="SchemaDefinitionenHeader"/>
        <w:ind w:left="4956"/>
        <w:rPr>
          <w:iCs/>
          <w:color w:val="auto"/>
        </w:rPr>
      </w:pPr>
      <w:r w:rsidRPr="007D16DF">
        <w:rPr>
          <w:iCs/>
          <w:color w:val="auto"/>
        </w:rPr>
        <w:t xml:space="preserve">Sie </w:t>
      </w:r>
      <w:r w:rsidR="00F82A20" w:rsidRPr="007D16DF">
        <w:rPr>
          <w:iCs/>
          <w:color w:val="auto"/>
        </w:rPr>
        <w:t xml:space="preserve">argumentieren, dass es in bestimmten Einzelfällen einen „Täter hinter dem Täter“ geben muss. </w:t>
      </w:r>
      <w:r w:rsidR="000B233F" w:rsidRPr="007D16DF">
        <w:rPr>
          <w:iCs/>
          <w:color w:val="auto"/>
        </w:rPr>
        <w:t>Das Verantwortungsprinzip sei zu starr, da es den Täterwillen des Hintermannes verkennt. Weiterhin zeige auch § 25 II StGB, dass es mehrere Täter gleichzeitig geben kann</w:t>
      </w:r>
      <w:r w:rsidR="001C3249" w:rsidRPr="007D16DF">
        <w:rPr>
          <w:iCs/>
          <w:color w:val="auto"/>
        </w:rPr>
        <w:t>.</w:t>
      </w:r>
    </w:p>
    <w:p w14:paraId="2F1D059E" w14:textId="20D32048" w:rsidR="000B233F" w:rsidRPr="007D16DF" w:rsidRDefault="00A67EFD" w:rsidP="007D16DF">
      <w:pPr>
        <w:pStyle w:val="SchemaDefinitionenHeader"/>
        <w:ind w:left="4956"/>
        <w:rPr>
          <w:iCs/>
          <w:color w:val="auto"/>
        </w:rPr>
      </w:pPr>
      <w:r w:rsidRPr="007D16DF">
        <w:rPr>
          <w:iCs/>
          <w:color w:val="auto"/>
        </w:rPr>
        <w:t>In folgenden Einzelfällen wird ein „Täter hinter dem Täter akzeptiert“:</w:t>
      </w:r>
    </w:p>
    <w:p w14:paraId="4BBDCCD9" w14:textId="77777777" w:rsidR="00582E31" w:rsidRPr="007D16DF" w:rsidRDefault="00582E31" w:rsidP="006539CC">
      <w:pPr>
        <w:pStyle w:val="SchemaDefinitionenHeader"/>
        <w:ind w:left="4245"/>
        <w:rPr>
          <w:iCs/>
          <w:color w:val="auto"/>
        </w:rPr>
      </w:pPr>
    </w:p>
    <w:p w14:paraId="2CE0ACBF" w14:textId="77777777" w:rsidR="006539CC" w:rsidRPr="007D16DF" w:rsidRDefault="006539CC" w:rsidP="00582E31">
      <w:pPr>
        <w:pStyle w:val="SchemaDefinitionenHeader"/>
        <w:numPr>
          <w:ilvl w:val="0"/>
          <w:numId w:val="32"/>
        </w:numPr>
        <w:rPr>
          <w:iCs/>
          <w:color w:val="auto"/>
        </w:rPr>
      </w:pPr>
      <w:r w:rsidRPr="007D16DF">
        <w:rPr>
          <w:iCs/>
          <w:color w:val="auto"/>
        </w:rPr>
        <w:t xml:space="preserve">Hervorrufen eines </w:t>
      </w:r>
      <w:proofErr w:type="spellStart"/>
      <w:r w:rsidRPr="007D16DF">
        <w:rPr>
          <w:iCs/>
          <w:color w:val="auto"/>
        </w:rPr>
        <w:t>error</w:t>
      </w:r>
      <w:proofErr w:type="spellEnd"/>
      <w:r w:rsidRPr="007D16DF">
        <w:rPr>
          <w:iCs/>
          <w:color w:val="auto"/>
        </w:rPr>
        <w:t xml:space="preserve"> in </w:t>
      </w:r>
      <w:proofErr w:type="spellStart"/>
      <w:r w:rsidRPr="007D16DF">
        <w:rPr>
          <w:iCs/>
          <w:color w:val="auto"/>
        </w:rPr>
        <w:t>persona</w:t>
      </w:r>
      <w:proofErr w:type="spellEnd"/>
      <w:r w:rsidRPr="007D16DF">
        <w:rPr>
          <w:iCs/>
          <w:color w:val="auto"/>
        </w:rPr>
        <w:t xml:space="preserve"> beim Vordermann</w:t>
      </w:r>
    </w:p>
    <w:p w14:paraId="424FDF32" w14:textId="48057FA9" w:rsidR="006539CC" w:rsidRPr="007D16DF" w:rsidRDefault="006539CC" w:rsidP="00582E31">
      <w:pPr>
        <w:pStyle w:val="SchemaDefinitionenHeader"/>
        <w:numPr>
          <w:ilvl w:val="0"/>
          <w:numId w:val="32"/>
        </w:numPr>
        <w:rPr>
          <w:iCs/>
          <w:color w:val="auto"/>
        </w:rPr>
      </w:pPr>
      <w:r w:rsidRPr="007D16DF">
        <w:rPr>
          <w:iCs/>
          <w:color w:val="auto"/>
        </w:rPr>
        <w:t>Hervorrufen eines vermeidbaren Verbotsirrtums</w:t>
      </w:r>
      <w:r w:rsidR="00C575EE" w:rsidRPr="007D16DF">
        <w:rPr>
          <w:iCs/>
          <w:color w:val="auto"/>
        </w:rPr>
        <w:t xml:space="preserve"> beim Vordermann</w:t>
      </w:r>
    </w:p>
    <w:p w14:paraId="0D3269C4" w14:textId="4A71C98F" w:rsidR="006539CC" w:rsidRPr="007D16DF" w:rsidRDefault="006539CC" w:rsidP="00582E31">
      <w:pPr>
        <w:pStyle w:val="SchemaDefinitionenHeader"/>
        <w:numPr>
          <w:ilvl w:val="0"/>
          <w:numId w:val="32"/>
        </w:numPr>
        <w:rPr>
          <w:iCs/>
          <w:color w:val="auto"/>
        </w:rPr>
      </w:pPr>
      <w:r w:rsidRPr="007D16DF">
        <w:rPr>
          <w:iCs/>
          <w:color w:val="auto"/>
        </w:rPr>
        <w:t>Im Rahmen organisatorischer Machtapparate</w:t>
      </w:r>
      <w:r w:rsidR="00C575EE" w:rsidRPr="007D16DF">
        <w:rPr>
          <w:iCs/>
          <w:color w:val="auto"/>
        </w:rPr>
        <w:t xml:space="preserve"> </w:t>
      </w:r>
    </w:p>
    <w:p w14:paraId="62104D8E" w14:textId="77777777" w:rsidR="006539CC" w:rsidRPr="007D16DF" w:rsidRDefault="006539CC" w:rsidP="00582E31">
      <w:pPr>
        <w:pStyle w:val="SchemaDefinitionenHeader"/>
        <w:numPr>
          <w:ilvl w:val="0"/>
          <w:numId w:val="32"/>
        </w:numPr>
        <w:rPr>
          <w:iCs/>
          <w:color w:val="auto"/>
        </w:rPr>
      </w:pPr>
      <w:r w:rsidRPr="007D16DF">
        <w:rPr>
          <w:iCs/>
          <w:color w:val="auto"/>
        </w:rPr>
        <w:t>Irrtum des Vordermanns über gesetzliche Qualifikationsmerkmale</w:t>
      </w:r>
    </w:p>
    <w:p w14:paraId="267C3A1F" w14:textId="77777777" w:rsidR="006539CC" w:rsidRPr="007D16DF" w:rsidRDefault="006539CC" w:rsidP="006539CC">
      <w:pPr>
        <w:pStyle w:val="SchemaDefinitionenHeader"/>
        <w:ind w:left="2700"/>
        <w:rPr>
          <w:iCs/>
          <w:color w:val="auto"/>
        </w:rPr>
      </w:pPr>
    </w:p>
    <w:p w14:paraId="06CE8292" w14:textId="77777777" w:rsidR="006539CC" w:rsidRPr="007D16DF" w:rsidRDefault="006539CC" w:rsidP="00D62DE4">
      <w:pPr>
        <w:pStyle w:val="SchemaDefinitionenHeader"/>
        <w:numPr>
          <w:ilvl w:val="0"/>
          <w:numId w:val="30"/>
        </w:numPr>
        <w:ind w:left="2700"/>
        <w:rPr>
          <w:i/>
          <w:iCs/>
          <w:color w:val="auto"/>
        </w:rPr>
      </w:pPr>
      <w:bookmarkStart w:id="10" w:name="Organisationsherrschaft"/>
      <w:r w:rsidRPr="007D16DF">
        <w:rPr>
          <w:i/>
          <w:iCs/>
          <w:color w:val="auto"/>
        </w:rPr>
        <w:t>Organisationsherrschaft</w:t>
      </w:r>
    </w:p>
    <w:bookmarkEnd w:id="10"/>
    <w:p w14:paraId="3B73BD35" w14:textId="77777777" w:rsidR="006539CC" w:rsidRPr="007D16DF" w:rsidRDefault="006539CC" w:rsidP="006539CC">
      <w:pPr>
        <w:pStyle w:val="SchemaDefinitionenHeader"/>
        <w:ind w:left="2700"/>
        <w:rPr>
          <w:iCs/>
          <w:color w:val="auto"/>
        </w:rPr>
      </w:pPr>
      <w:r w:rsidRPr="007D16DF">
        <w:rPr>
          <w:iCs/>
          <w:color w:val="auto"/>
        </w:rPr>
        <w:t>Darüber hinaus muss der Hintermann als mittelbarer Täter das Geschehen kraft überlegenen Wissens oder Wollens steuern, sodass er eine die Tatherrschaft begründende Stellung erlangt.</w:t>
      </w:r>
    </w:p>
    <w:p w14:paraId="2A2B99C6" w14:textId="4A3C4FDC" w:rsidR="006539CC" w:rsidRPr="007D16DF" w:rsidRDefault="006539CC" w:rsidP="006539CC">
      <w:pPr>
        <w:rPr>
          <w:rFonts w:ascii="Open Sans" w:hAnsi="Open Sans" w:cs="Open Sans"/>
          <w:b/>
          <w:bCs/>
        </w:rPr>
      </w:pPr>
    </w:p>
    <w:p w14:paraId="65B70556" w14:textId="77777777" w:rsidR="006539CC" w:rsidRPr="007D16DF" w:rsidRDefault="006539CC" w:rsidP="00D62DE4">
      <w:pPr>
        <w:pStyle w:val="SchemaDefinitionenHeader"/>
        <w:numPr>
          <w:ilvl w:val="0"/>
          <w:numId w:val="29"/>
        </w:numPr>
        <w:rPr>
          <w:b/>
          <w:bCs/>
          <w:color w:val="auto"/>
        </w:rPr>
      </w:pPr>
      <w:bookmarkStart w:id="11" w:name="subj_TB"/>
      <w:bookmarkStart w:id="12" w:name="uU_Tatbestandsverschiebung"/>
      <w:r w:rsidRPr="007D16DF">
        <w:rPr>
          <w:b/>
          <w:bCs/>
          <w:color w:val="auto"/>
        </w:rPr>
        <w:t>Subjektiver Tatbestand</w:t>
      </w:r>
    </w:p>
    <w:bookmarkEnd w:id="11"/>
    <w:bookmarkEnd w:id="12"/>
    <w:p w14:paraId="3954AE3A" w14:textId="48102F99" w:rsidR="006539CC" w:rsidRPr="007D16DF" w:rsidRDefault="006539CC" w:rsidP="00D62DE4">
      <w:pPr>
        <w:pStyle w:val="SchemaDefinitionenHeader"/>
        <w:numPr>
          <w:ilvl w:val="1"/>
          <w:numId w:val="29"/>
        </w:numPr>
        <w:rPr>
          <w:bCs/>
          <w:i/>
          <w:iCs/>
          <w:color w:val="auto"/>
        </w:rPr>
      </w:pPr>
      <w:r w:rsidRPr="007D16DF">
        <w:rPr>
          <w:bCs/>
          <w:i/>
          <w:iCs/>
          <w:color w:val="auto"/>
        </w:rPr>
        <w:t>Vorsatz bezogen auf die objektive Tatbestandsverwirklichung des Vordermanns sowie Bewusstsein der eigenen Tatherrschaft bzw. Täterwille</w:t>
      </w:r>
    </w:p>
    <w:p w14:paraId="00ACB5D3" w14:textId="77777777" w:rsidR="006539CC" w:rsidRPr="007D16DF" w:rsidRDefault="006539CC" w:rsidP="00D62DE4">
      <w:pPr>
        <w:pStyle w:val="SchemaDefinitionenHeader"/>
        <w:numPr>
          <w:ilvl w:val="1"/>
          <w:numId w:val="29"/>
        </w:numPr>
        <w:rPr>
          <w:bCs/>
          <w:i/>
          <w:iCs/>
          <w:color w:val="auto"/>
        </w:rPr>
      </w:pPr>
      <w:r w:rsidRPr="007D16DF">
        <w:rPr>
          <w:bCs/>
          <w:i/>
          <w:iCs/>
          <w:color w:val="auto"/>
        </w:rPr>
        <w:lastRenderedPageBreak/>
        <w:t>Spezielle Absichten, z.B. Zueignungsabsicht</w:t>
      </w:r>
    </w:p>
    <w:p w14:paraId="7CC80F74" w14:textId="77777777" w:rsidR="006539CC" w:rsidRPr="007D16DF" w:rsidRDefault="006539CC" w:rsidP="00D62DE4">
      <w:pPr>
        <w:pStyle w:val="SchemaDefinitionenHeader"/>
        <w:numPr>
          <w:ilvl w:val="1"/>
          <w:numId w:val="29"/>
        </w:numPr>
        <w:rPr>
          <w:bCs/>
          <w:i/>
          <w:iCs/>
          <w:color w:val="auto"/>
        </w:rPr>
      </w:pPr>
      <w:r w:rsidRPr="007D16DF">
        <w:rPr>
          <w:bCs/>
          <w:i/>
          <w:iCs/>
          <w:color w:val="auto"/>
        </w:rPr>
        <w:t>Besondere subjektive Merkmale</w:t>
      </w:r>
    </w:p>
    <w:p w14:paraId="2205D100" w14:textId="77777777" w:rsidR="006539CC" w:rsidRPr="007D16DF" w:rsidRDefault="006539CC" w:rsidP="006539CC">
      <w:pPr>
        <w:pStyle w:val="SchemaDefinitionenHeader"/>
        <w:ind w:left="2160"/>
        <w:rPr>
          <w:bCs/>
          <w:color w:val="auto"/>
        </w:rPr>
      </w:pPr>
    </w:p>
    <w:p w14:paraId="542FB5C1" w14:textId="77777777" w:rsidR="006539CC" w:rsidRPr="007D16DF" w:rsidRDefault="006539CC" w:rsidP="00D62DE4">
      <w:pPr>
        <w:pStyle w:val="SchemaDefinitionenHeader"/>
        <w:numPr>
          <w:ilvl w:val="0"/>
          <w:numId w:val="28"/>
        </w:numPr>
        <w:rPr>
          <w:b/>
          <w:bCs/>
          <w:color w:val="auto"/>
        </w:rPr>
      </w:pPr>
      <w:r w:rsidRPr="007D16DF">
        <w:rPr>
          <w:b/>
          <w:bCs/>
          <w:color w:val="auto"/>
        </w:rPr>
        <w:t>Unter Umständen Tatbestandsverschiebung nach § 28 II StGB</w:t>
      </w:r>
    </w:p>
    <w:p w14:paraId="455C9543" w14:textId="77777777" w:rsidR="006539CC" w:rsidRPr="007D16DF" w:rsidRDefault="006539CC" w:rsidP="00D62DE4">
      <w:pPr>
        <w:pStyle w:val="SchemaDefinitionenHeader"/>
        <w:numPr>
          <w:ilvl w:val="0"/>
          <w:numId w:val="28"/>
        </w:numPr>
        <w:rPr>
          <w:b/>
          <w:bCs/>
          <w:color w:val="auto"/>
        </w:rPr>
      </w:pPr>
      <w:bookmarkStart w:id="13" w:name="RW"/>
      <w:r w:rsidRPr="007D16DF">
        <w:rPr>
          <w:b/>
          <w:bCs/>
          <w:color w:val="auto"/>
        </w:rPr>
        <w:t>Rechtswidrigkeit</w:t>
      </w:r>
    </w:p>
    <w:p w14:paraId="5378D6A5" w14:textId="425E5138" w:rsidR="00295E1E" w:rsidRPr="007D16DF" w:rsidRDefault="006539CC" w:rsidP="006539CC">
      <w:pPr>
        <w:pStyle w:val="SchemaDefinitionenHeader"/>
        <w:numPr>
          <w:ilvl w:val="0"/>
          <w:numId w:val="28"/>
        </w:numPr>
        <w:rPr>
          <w:b/>
          <w:bCs/>
          <w:color w:val="auto"/>
        </w:rPr>
      </w:pPr>
      <w:bookmarkStart w:id="14" w:name="Schuld"/>
      <w:bookmarkEnd w:id="13"/>
      <w:r w:rsidRPr="007D16DF">
        <w:rPr>
          <w:b/>
          <w:bCs/>
          <w:color w:val="auto"/>
        </w:rPr>
        <w:t>Schuld</w:t>
      </w:r>
      <w:bookmarkEnd w:id="14"/>
    </w:p>
    <w:p w14:paraId="375EB1A1" w14:textId="5C0EC763" w:rsidR="00637A0E" w:rsidRPr="007D16DF" w:rsidRDefault="00637A0E" w:rsidP="00637A0E">
      <w:pPr>
        <w:pStyle w:val="SchemaDefinitionenHeader"/>
        <w:rPr>
          <w:b/>
          <w:bCs/>
          <w:color w:val="auto"/>
        </w:rPr>
      </w:pPr>
    </w:p>
    <w:p w14:paraId="677534E7" w14:textId="2ABDB2C0" w:rsidR="00637A0E" w:rsidRPr="007D16DF" w:rsidRDefault="00637A0E" w:rsidP="00637A0E">
      <w:pPr>
        <w:pStyle w:val="SchemaDefinitionenHeader"/>
        <w:rPr>
          <w:b/>
          <w:bCs/>
          <w:color w:val="auto"/>
        </w:rPr>
      </w:pPr>
    </w:p>
    <w:p w14:paraId="4A7F2D1E" w14:textId="43F0FB60" w:rsidR="00637A0E" w:rsidRPr="007D16DF" w:rsidRDefault="00637A0E" w:rsidP="00637A0E">
      <w:pPr>
        <w:pStyle w:val="SchemaDefinitionenHeader"/>
        <w:rPr>
          <w:color w:val="auto"/>
        </w:rPr>
      </w:pPr>
      <w:r w:rsidRPr="007D16DF">
        <w:rPr>
          <w:color w:val="auto"/>
        </w:rPr>
        <w:t xml:space="preserve">Quellen: </w:t>
      </w:r>
    </w:p>
    <w:p w14:paraId="0EE876BB" w14:textId="4C1D123E" w:rsidR="00637A0E" w:rsidRPr="007D16DF" w:rsidRDefault="00637A0E" w:rsidP="00637A0E">
      <w:pPr>
        <w:pStyle w:val="SchemaDefinitionenHeader"/>
        <w:rPr>
          <w:color w:val="auto"/>
        </w:rPr>
      </w:pPr>
      <w:r w:rsidRPr="007D16DF">
        <w:rPr>
          <w:color w:val="auto"/>
        </w:rPr>
        <w:t>Roxin, Täterschaft und Teilnahme, 10. Auflage 2019, II, 25/27</w:t>
      </w:r>
    </w:p>
    <w:p w14:paraId="1251A72C" w14:textId="25E9F07B" w:rsidR="00637A0E" w:rsidRPr="007D16DF" w:rsidRDefault="00F83B6B" w:rsidP="00637A0E">
      <w:pPr>
        <w:pStyle w:val="SchemaDefinitionenHeader"/>
        <w:rPr>
          <w:color w:val="auto"/>
        </w:rPr>
      </w:pPr>
      <w:r w:rsidRPr="007D16DF">
        <w:rPr>
          <w:color w:val="auto"/>
        </w:rPr>
        <w:t>NStZ 1995, 285</w:t>
      </w:r>
    </w:p>
    <w:p w14:paraId="6A085934" w14:textId="61BE0B44" w:rsidR="002F5650" w:rsidRPr="007D16DF" w:rsidRDefault="002F5650">
      <w:pPr>
        <w:pStyle w:val="SchemaDefinitionenHeader"/>
        <w:rPr>
          <w:color w:val="auto"/>
        </w:rPr>
      </w:pPr>
      <w:r w:rsidRPr="007D16DF">
        <w:rPr>
          <w:color w:val="auto"/>
        </w:rPr>
        <w:t xml:space="preserve">Fischer, 67. Aufl. 2020, StGB § 25 </w:t>
      </w:r>
      <w:proofErr w:type="spellStart"/>
      <w:r w:rsidRPr="007D16DF">
        <w:rPr>
          <w:color w:val="auto"/>
        </w:rPr>
        <w:t>Rn</w:t>
      </w:r>
      <w:proofErr w:type="spellEnd"/>
      <w:r w:rsidRPr="007D16DF">
        <w:rPr>
          <w:color w:val="auto"/>
        </w:rPr>
        <w:t>. 26 f.</w:t>
      </w:r>
    </w:p>
    <w:p w14:paraId="23E3D689" w14:textId="77777777" w:rsidR="004468B0" w:rsidRPr="007D16DF" w:rsidRDefault="004468B0" w:rsidP="004468B0">
      <w:pPr>
        <w:pStyle w:val="SchemaDefinitionenHeader"/>
        <w:rPr>
          <w:color w:val="auto"/>
        </w:rPr>
      </w:pPr>
      <w:r w:rsidRPr="007D16DF">
        <w:rPr>
          <w:bCs/>
          <w:color w:val="auto"/>
        </w:rPr>
        <w:t xml:space="preserve">Münchener Kommentar zum StGB </w:t>
      </w:r>
      <w:r w:rsidRPr="007D16DF">
        <w:rPr>
          <w:color w:val="auto"/>
        </w:rPr>
        <w:t xml:space="preserve">/ Joecks/Scheinfeld, 4. Aufl. 2020, § 25 </w:t>
      </w:r>
      <w:proofErr w:type="spellStart"/>
      <w:r w:rsidRPr="007D16DF">
        <w:rPr>
          <w:color w:val="auto"/>
        </w:rPr>
        <w:t>Rn</w:t>
      </w:r>
      <w:proofErr w:type="spellEnd"/>
      <w:r w:rsidRPr="007D16DF">
        <w:rPr>
          <w:color w:val="auto"/>
        </w:rPr>
        <w:t>. 111 ff.</w:t>
      </w:r>
    </w:p>
    <w:p w14:paraId="52C3280A" w14:textId="77777777" w:rsidR="004468B0" w:rsidRPr="007D16DF" w:rsidRDefault="004468B0" w:rsidP="007D16DF">
      <w:pPr>
        <w:pStyle w:val="SchemaDefinitionenHeader"/>
        <w:rPr>
          <w:b/>
          <w:bCs/>
          <w:color w:val="auto"/>
        </w:rPr>
      </w:pPr>
    </w:p>
    <w:sectPr w:rsidR="004468B0" w:rsidRPr="007D16D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0AEF1" w14:textId="77777777" w:rsidR="00310085" w:rsidRDefault="00310085" w:rsidP="0041069B">
      <w:pPr>
        <w:spacing w:after="0" w:line="240" w:lineRule="auto"/>
      </w:pPr>
      <w:r>
        <w:separator/>
      </w:r>
    </w:p>
  </w:endnote>
  <w:endnote w:type="continuationSeparator" w:id="0">
    <w:p w14:paraId="30730AD8" w14:textId="77777777" w:rsidR="00310085" w:rsidRDefault="00310085"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84A4" w14:textId="77777777" w:rsidR="002B74C7" w:rsidRDefault="002B74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15" w:name="_Hlk64808829"/>
        <w:bookmarkStart w:id="16"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54C287C8">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55E60"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0CCF3453"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15"/>
    <w:bookmarkEnd w:id="16"/>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D092" w14:textId="77777777" w:rsidR="002B74C7" w:rsidRDefault="002B74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D56F" w14:textId="77777777" w:rsidR="00310085" w:rsidRDefault="00310085" w:rsidP="0041069B">
      <w:pPr>
        <w:spacing w:after="0" w:line="240" w:lineRule="auto"/>
      </w:pPr>
      <w:r>
        <w:separator/>
      </w:r>
    </w:p>
  </w:footnote>
  <w:footnote w:type="continuationSeparator" w:id="0">
    <w:p w14:paraId="5532CC88" w14:textId="77777777" w:rsidR="00310085" w:rsidRDefault="00310085"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3CBA" w14:textId="77777777" w:rsidR="002B74C7" w:rsidRDefault="002B74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C586" w14:textId="77777777" w:rsidR="002B74C7" w:rsidRDefault="002B74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89C4F80"/>
    <w:multiLevelType w:val="hybridMultilevel"/>
    <w:tmpl w:val="11F68378"/>
    <w:lvl w:ilvl="0" w:tplc="6C2E9C6A">
      <w:start w:val="1"/>
      <w:numFmt w:val="decimal"/>
      <w:lvlText w:val="(%1)"/>
      <w:lvlJc w:val="left"/>
      <w:pPr>
        <w:ind w:left="5316" w:hanging="360"/>
      </w:pPr>
      <w:rPr>
        <w:rFonts w:hint="default"/>
      </w:rPr>
    </w:lvl>
    <w:lvl w:ilvl="1" w:tplc="04070019" w:tentative="1">
      <w:start w:val="1"/>
      <w:numFmt w:val="lowerLetter"/>
      <w:lvlText w:val="%2."/>
      <w:lvlJc w:val="left"/>
      <w:pPr>
        <w:ind w:left="2796" w:hanging="360"/>
      </w:pPr>
    </w:lvl>
    <w:lvl w:ilvl="2" w:tplc="0407001B" w:tentative="1">
      <w:start w:val="1"/>
      <w:numFmt w:val="lowerRoman"/>
      <w:lvlText w:val="%3."/>
      <w:lvlJc w:val="right"/>
      <w:pPr>
        <w:ind w:left="3516" w:hanging="180"/>
      </w:pPr>
    </w:lvl>
    <w:lvl w:ilvl="3" w:tplc="0407000F" w:tentative="1">
      <w:start w:val="1"/>
      <w:numFmt w:val="decimal"/>
      <w:lvlText w:val="%4."/>
      <w:lvlJc w:val="left"/>
      <w:pPr>
        <w:ind w:left="4236" w:hanging="360"/>
      </w:pPr>
    </w:lvl>
    <w:lvl w:ilvl="4" w:tplc="04070019" w:tentative="1">
      <w:start w:val="1"/>
      <w:numFmt w:val="lowerLetter"/>
      <w:lvlText w:val="%5."/>
      <w:lvlJc w:val="left"/>
      <w:pPr>
        <w:ind w:left="4956" w:hanging="360"/>
      </w:pPr>
    </w:lvl>
    <w:lvl w:ilvl="5" w:tplc="0407001B" w:tentative="1">
      <w:start w:val="1"/>
      <w:numFmt w:val="lowerRoman"/>
      <w:lvlText w:val="%6."/>
      <w:lvlJc w:val="right"/>
      <w:pPr>
        <w:ind w:left="5676" w:hanging="180"/>
      </w:pPr>
    </w:lvl>
    <w:lvl w:ilvl="6" w:tplc="0407000F" w:tentative="1">
      <w:start w:val="1"/>
      <w:numFmt w:val="decimal"/>
      <w:lvlText w:val="%7."/>
      <w:lvlJc w:val="left"/>
      <w:pPr>
        <w:ind w:left="6396" w:hanging="360"/>
      </w:pPr>
    </w:lvl>
    <w:lvl w:ilvl="7" w:tplc="04070019" w:tentative="1">
      <w:start w:val="1"/>
      <w:numFmt w:val="lowerLetter"/>
      <w:lvlText w:val="%8."/>
      <w:lvlJc w:val="left"/>
      <w:pPr>
        <w:ind w:left="7116" w:hanging="360"/>
      </w:pPr>
    </w:lvl>
    <w:lvl w:ilvl="8" w:tplc="0407001B" w:tentative="1">
      <w:start w:val="1"/>
      <w:numFmt w:val="lowerRoman"/>
      <w:lvlText w:val="%9."/>
      <w:lvlJc w:val="right"/>
      <w:pPr>
        <w:ind w:left="7836" w:hanging="180"/>
      </w:pPr>
    </w:lvl>
  </w:abstractNum>
  <w:abstractNum w:abstractNumId="5"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8" w15:restartNumberingAfterBreak="0">
    <w:nsid w:val="252D6671"/>
    <w:multiLevelType w:val="multilevel"/>
    <w:tmpl w:val="AB2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1"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2"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3"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4"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5" w15:restartNumberingAfterBreak="0">
    <w:nsid w:val="3EC269BE"/>
    <w:multiLevelType w:val="multilevel"/>
    <w:tmpl w:val="C67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F47DF"/>
    <w:multiLevelType w:val="multilevel"/>
    <w:tmpl w:val="06E4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8" w15:restartNumberingAfterBreak="0">
    <w:nsid w:val="4B7B7923"/>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19" w15:restartNumberingAfterBreak="0">
    <w:nsid w:val="4C326D20"/>
    <w:multiLevelType w:val="hybridMultilevel"/>
    <w:tmpl w:val="ACFA60F2"/>
    <w:lvl w:ilvl="0" w:tplc="AB2C57EC">
      <w:start w:val="1"/>
      <w:numFmt w:val="decimal"/>
      <w:lvlText w:val="%1."/>
      <w:lvlJc w:val="left"/>
      <w:pPr>
        <w:ind w:left="1440" w:hanging="360"/>
      </w:pPr>
      <w:rPr>
        <w:rFonts w:hint="default"/>
      </w:rPr>
    </w:lvl>
    <w:lvl w:ilvl="1" w:tplc="CE029746">
      <w:start w:val="1"/>
      <w:numFmt w:val="bullet"/>
      <w:lvlText w:val="-"/>
      <w:lvlJc w:val="left"/>
      <w:pPr>
        <w:ind w:left="2160" w:hanging="360"/>
      </w:pPr>
      <w:rPr>
        <w:rFonts w:ascii="Open Sans" w:eastAsiaTheme="minorHAnsi" w:hAnsi="Open Sans" w:cs="Open Sans" w:hint="default"/>
      </w:rPr>
    </w:lvl>
    <w:lvl w:ilvl="2" w:tplc="CE029746">
      <w:start w:val="1"/>
      <w:numFmt w:val="bullet"/>
      <w:lvlText w:val="-"/>
      <w:lvlJc w:val="left"/>
      <w:pPr>
        <w:ind w:left="2880" w:hanging="180"/>
      </w:pPr>
      <w:rPr>
        <w:rFonts w:ascii="Open Sans" w:eastAsiaTheme="minorHAnsi" w:hAnsi="Open Sans" w:cs="Open Sans" w:hint="default"/>
      </w:rPr>
    </w:lvl>
    <w:lvl w:ilvl="3" w:tplc="0407000F">
      <w:start w:val="1"/>
      <w:numFmt w:val="decimal"/>
      <w:lvlText w:val="%4."/>
      <w:lvlJc w:val="left"/>
      <w:pPr>
        <w:ind w:left="3600" w:hanging="360"/>
      </w:pPr>
    </w:lvl>
    <w:lvl w:ilvl="4" w:tplc="CE029746">
      <w:start w:val="1"/>
      <w:numFmt w:val="bullet"/>
      <w:lvlText w:val="-"/>
      <w:lvlJc w:val="left"/>
      <w:pPr>
        <w:ind w:left="4320" w:hanging="360"/>
      </w:pPr>
      <w:rPr>
        <w:rFonts w:ascii="Open Sans" w:eastAsiaTheme="minorHAnsi" w:hAnsi="Open Sans" w:cs="Open Sans" w:hint="default"/>
      </w:rPr>
    </w:lvl>
    <w:lvl w:ilvl="5" w:tplc="8AC07FFA">
      <w:start w:val="27"/>
      <w:numFmt w:val="lowerLetter"/>
      <w:lvlText w:val="%6."/>
      <w:lvlJc w:val="left"/>
      <w:pPr>
        <w:ind w:left="5220" w:hanging="360"/>
      </w:pPr>
      <w:rPr>
        <w:rFonts w:hint="default"/>
      </w:r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15:restartNumberingAfterBreak="0">
    <w:nsid w:val="533C5BB6"/>
    <w:multiLevelType w:val="multilevel"/>
    <w:tmpl w:val="2566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11D2C"/>
    <w:multiLevelType w:val="multilevel"/>
    <w:tmpl w:val="B3D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30B7E"/>
    <w:multiLevelType w:val="hybridMultilevel"/>
    <w:tmpl w:val="4D80C126"/>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6C2E9C6A">
      <w:start w:val="1"/>
      <w:numFmt w:val="decimal"/>
      <w:lvlText w:val="(%5)"/>
      <w:lvlJc w:val="left"/>
      <w:pPr>
        <w:ind w:left="3960" w:hanging="360"/>
      </w:pPr>
      <w:rPr>
        <w:rFonts w:hint="default"/>
      </w:rPr>
    </w:lvl>
    <w:lvl w:ilvl="5" w:tplc="0407001B">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24"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5" w15:restartNumberingAfterBreak="0">
    <w:nsid w:val="65263E1C"/>
    <w:multiLevelType w:val="hybridMultilevel"/>
    <w:tmpl w:val="D944B4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28" w15:restartNumberingAfterBreak="0">
    <w:nsid w:val="68E31CDF"/>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6B0A2BBC"/>
    <w:multiLevelType w:val="hybridMultilevel"/>
    <w:tmpl w:val="3062A794"/>
    <w:lvl w:ilvl="0" w:tplc="0407001B">
      <w:start w:val="1"/>
      <w:numFmt w:val="lowerRoman"/>
      <w:lvlText w:val="%1."/>
      <w:lvlJc w:val="right"/>
      <w:pPr>
        <w:ind w:left="3720" w:hanging="180"/>
      </w:pPr>
    </w:lvl>
    <w:lvl w:ilvl="1" w:tplc="04070019" w:tentative="1">
      <w:start w:val="1"/>
      <w:numFmt w:val="lowerLetter"/>
      <w:lvlText w:val="%2."/>
      <w:lvlJc w:val="left"/>
      <w:pPr>
        <w:ind w:left="2280" w:hanging="360"/>
      </w:pPr>
    </w:lvl>
    <w:lvl w:ilvl="2" w:tplc="0407001B" w:tentative="1">
      <w:start w:val="1"/>
      <w:numFmt w:val="lowerRoman"/>
      <w:lvlText w:val="%3."/>
      <w:lvlJc w:val="right"/>
      <w:pPr>
        <w:ind w:left="3000" w:hanging="180"/>
      </w:pPr>
    </w:lvl>
    <w:lvl w:ilvl="3" w:tplc="0407000F" w:tentative="1">
      <w:start w:val="1"/>
      <w:numFmt w:val="decimal"/>
      <w:lvlText w:val="%4."/>
      <w:lvlJc w:val="left"/>
      <w:pPr>
        <w:ind w:left="3720" w:hanging="360"/>
      </w:pPr>
    </w:lvl>
    <w:lvl w:ilvl="4" w:tplc="04070019" w:tentative="1">
      <w:start w:val="1"/>
      <w:numFmt w:val="lowerLetter"/>
      <w:lvlText w:val="%5."/>
      <w:lvlJc w:val="left"/>
      <w:pPr>
        <w:ind w:left="4440" w:hanging="360"/>
      </w:pPr>
    </w:lvl>
    <w:lvl w:ilvl="5" w:tplc="0407001B" w:tentative="1">
      <w:start w:val="1"/>
      <w:numFmt w:val="lowerRoman"/>
      <w:lvlText w:val="%6."/>
      <w:lvlJc w:val="right"/>
      <w:pPr>
        <w:ind w:left="5160" w:hanging="180"/>
      </w:pPr>
    </w:lvl>
    <w:lvl w:ilvl="6" w:tplc="0407000F" w:tentative="1">
      <w:start w:val="1"/>
      <w:numFmt w:val="decimal"/>
      <w:lvlText w:val="%7."/>
      <w:lvlJc w:val="left"/>
      <w:pPr>
        <w:ind w:left="5880" w:hanging="360"/>
      </w:pPr>
    </w:lvl>
    <w:lvl w:ilvl="7" w:tplc="04070019" w:tentative="1">
      <w:start w:val="1"/>
      <w:numFmt w:val="lowerLetter"/>
      <w:lvlText w:val="%8."/>
      <w:lvlJc w:val="left"/>
      <w:pPr>
        <w:ind w:left="6600" w:hanging="360"/>
      </w:pPr>
    </w:lvl>
    <w:lvl w:ilvl="8" w:tplc="0407001B" w:tentative="1">
      <w:start w:val="1"/>
      <w:numFmt w:val="lowerRoman"/>
      <w:lvlText w:val="%9."/>
      <w:lvlJc w:val="right"/>
      <w:pPr>
        <w:ind w:left="7320" w:hanging="180"/>
      </w:pPr>
    </w:lvl>
  </w:abstractNum>
  <w:abstractNum w:abstractNumId="31"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33"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34"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35"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6"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abstractNum w:abstractNumId="37" w15:restartNumberingAfterBreak="0">
    <w:nsid w:val="7D7F4C4A"/>
    <w:multiLevelType w:val="hybridMultilevel"/>
    <w:tmpl w:val="11F68378"/>
    <w:lvl w:ilvl="0" w:tplc="6C2E9C6A">
      <w:start w:val="1"/>
      <w:numFmt w:val="decimal"/>
      <w:lvlText w:val="(%1)"/>
      <w:lvlJc w:val="left"/>
      <w:pPr>
        <w:ind w:left="3552" w:hanging="360"/>
      </w:pPr>
      <w:rPr>
        <w:rFonts w:hint="default"/>
      </w:rPr>
    </w:lvl>
    <w:lvl w:ilvl="1" w:tplc="04070019" w:tentative="1">
      <w:start w:val="1"/>
      <w:numFmt w:val="lowerLetter"/>
      <w:lvlText w:val="%2."/>
      <w:lvlJc w:val="left"/>
      <w:pPr>
        <w:ind w:left="1032" w:hanging="360"/>
      </w:pPr>
    </w:lvl>
    <w:lvl w:ilvl="2" w:tplc="0407001B" w:tentative="1">
      <w:start w:val="1"/>
      <w:numFmt w:val="lowerRoman"/>
      <w:lvlText w:val="%3."/>
      <w:lvlJc w:val="right"/>
      <w:pPr>
        <w:ind w:left="1752" w:hanging="180"/>
      </w:pPr>
    </w:lvl>
    <w:lvl w:ilvl="3" w:tplc="0407000F" w:tentative="1">
      <w:start w:val="1"/>
      <w:numFmt w:val="decimal"/>
      <w:lvlText w:val="%4."/>
      <w:lvlJc w:val="left"/>
      <w:pPr>
        <w:ind w:left="2472" w:hanging="360"/>
      </w:pPr>
    </w:lvl>
    <w:lvl w:ilvl="4" w:tplc="04070019" w:tentative="1">
      <w:start w:val="1"/>
      <w:numFmt w:val="lowerLetter"/>
      <w:lvlText w:val="%5."/>
      <w:lvlJc w:val="left"/>
      <w:pPr>
        <w:ind w:left="3192" w:hanging="360"/>
      </w:pPr>
    </w:lvl>
    <w:lvl w:ilvl="5" w:tplc="0407001B" w:tentative="1">
      <w:start w:val="1"/>
      <w:numFmt w:val="lowerRoman"/>
      <w:lvlText w:val="%6."/>
      <w:lvlJc w:val="right"/>
      <w:pPr>
        <w:ind w:left="3912" w:hanging="180"/>
      </w:pPr>
    </w:lvl>
    <w:lvl w:ilvl="6" w:tplc="0407000F" w:tentative="1">
      <w:start w:val="1"/>
      <w:numFmt w:val="decimal"/>
      <w:lvlText w:val="%7."/>
      <w:lvlJc w:val="left"/>
      <w:pPr>
        <w:ind w:left="4632" w:hanging="360"/>
      </w:pPr>
    </w:lvl>
    <w:lvl w:ilvl="7" w:tplc="04070019" w:tentative="1">
      <w:start w:val="1"/>
      <w:numFmt w:val="lowerLetter"/>
      <w:lvlText w:val="%8."/>
      <w:lvlJc w:val="left"/>
      <w:pPr>
        <w:ind w:left="5352" w:hanging="360"/>
      </w:pPr>
    </w:lvl>
    <w:lvl w:ilvl="8" w:tplc="0407001B" w:tentative="1">
      <w:start w:val="1"/>
      <w:numFmt w:val="lowerRoman"/>
      <w:lvlText w:val="%9."/>
      <w:lvlJc w:val="right"/>
      <w:pPr>
        <w:ind w:left="6072" w:hanging="180"/>
      </w:pPr>
    </w:lvl>
  </w:abstractNum>
  <w:abstractNum w:abstractNumId="38" w15:restartNumberingAfterBreak="0">
    <w:nsid w:val="7F9834C9"/>
    <w:multiLevelType w:val="multilevel"/>
    <w:tmpl w:val="8CF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6031">
    <w:abstractNumId w:val="31"/>
  </w:num>
  <w:num w:numId="2" w16cid:durableId="900212131">
    <w:abstractNumId w:val="5"/>
  </w:num>
  <w:num w:numId="3" w16cid:durableId="1447625684">
    <w:abstractNumId w:val="7"/>
  </w:num>
  <w:num w:numId="4" w16cid:durableId="1799295194">
    <w:abstractNumId w:val="33"/>
  </w:num>
  <w:num w:numId="5" w16cid:durableId="1529493080">
    <w:abstractNumId w:val="36"/>
  </w:num>
  <w:num w:numId="6" w16cid:durableId="201139122">
    <w:abstractNumId w:val="17"/>
  </w:num>
  <w:num w:numId="7" w16cid:durableId="496268965">
    <w:abstractNumId w:val="12"/>
  </w:num>
  <w:num w:numId="8" w16cid:durableId="1737701537">
    <w:abstractNumId w:val="26"/>
  </w:num>
  <w:num w:numId="9" w16cid:durableId="367409737">
    <w:abstractNumId w:val="32"/>
  </w:num>
  <w:num w:numId="10" w16cid:durableId="112286479">
    <w:abstractNumId w:val="13"/>
  </w:num>
  <w:num w:numId="11" w16cid:durableId="642658127">
    <w:abstractNumId w:val="35"/>
  </w:num>
  <w:num w:numId="12" w16cid:durableId="1515459172">
    <w:abstractNumId w:val="14"/>
  </w:num>
  <w:num w:numId="13" w16cid:durableId="383215036">
    <w:abstractNumId w:val="34"/>
  </w:num>
  <w:num w:numId="14" w16cid:durableId="423765668">
    <w:abstractNumId w:val="27"/>
  </w:num>
  <w:num w:numId="15" w16cid:durableId="575480921">
    <w:abstractNumId w:val="11"/>
  </w:num>
  <w:num w:numId="16" w16cid:durableId="766537710">
    <w:abstractNumId w:val="0"/>
  </w:num>
  <w:num w:numId="17" w16cid:durableId="200212572">
    <w:abstractNumId w:val="23"/>
  </w:num>
  <w:num w:numId="18" w16cid:durableId="1406997264">
    <w:abstractNumId w:val="2"/>
  </w:num>
  <w:num w:numId="19" w16cid:durableId="1050500495">
    <w:abstractNumId w:val="24"/>
  </w:num>
  <w:num w:numId="20" w16cid:durableId="68158090">
    <w:abstractNumId w:val="3"/>
  </w:num>
  <w:num w:numId="21" w16cid:durableId="626354435">
    <w:abstractNumId w:val="10"/>
  </w:num>
  <w:num w:numId="22" w16cid:durableId="388962142">
    <w:abstractNumId w:val="1"/>
  </w:num>
  <w:num w:numId="23" w16cid:durableId="1436906898">
    <w:abstractNumId w:val="9"/>
  </w:num>
  <w:num w:numId="24" w16cid:durableId="1359624712">
    <w:abstractNumId w:val="29"/>
  </w:num>
  <w:num w:numId="25" w16cid:durableId="545719673">
    <w:abstractNumId w:val="6"/>
  </w:num>
  <w:num w:numId="26" w16cid:durableId="1658339936">
    <w:abstractNumId w:val="19"/>
  </w:num>
  <w:num w:numId="27" w16cid:durableId="1175611941">
    <w:abstractNumId w:val="30"/>
  </w:num>
  <w:num w:numId="28" w16cid:durableId="734086085">
    <w:abstractNumId w:val="28"/>
  </w:num>
  <w:num w:numId="29" w16cid:durableId="608706305">
    <w:abstractNumId w:val="22"/>
  </w:num>
  <w:num w:numId="30" w16cid:durableId="1406343403">
    <w:abstractNumId w:val="18"/>
  </w:num>
  <w:num w:numId="31" w16cid:durableId="1328944944">
    <w:abstractNumId w:val="37"/>
  </w:num>
  <w:num w:numId="32" w16cid:durableId="1226716445">
    <w:abstractNumId w:val="4"/>
  </w:num>
  <w:num w:numId="33" w16cid:durableId="274793493">
    <w:abstractNumId w:val="15"/>
  </w:num>
  <w:num w:numId="34" w16cid:durableId="1066806228">
    <w:abstractNumId w:val="16"/>
  </w:num>
  <w:num w:numId="35" w16cid:durableId="857889663">
    <w:abstractNumId w:val="20"/>
  </w:num>
  <w:num w:numId="36" w16cid:durableId="1752853288">
    <w:abstractNumId w:val="21"/>
  </w:num>
  <w:num w:numId="37" w16cid:durableId="2047244672">
    <w:abstractNumId w:val="25"/>
  </w:num>
  <w:num w:numId="38" w16cid:durableId="638801358">
    <w:abstractNumId w:val="8"/>
  </w:num>
  <w:num w:numId="39" w16cid:durableId="15116800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419CF"/>
    <w:rsid w:val="000730EF"/>
    <w:rsid w:val="000B233F"/>
    <w:rsid w:val="000D5A63"/>
    <w:rsid w:val="000E5DFE"/>
    <w:rsid w:val="000F08E4"/>
    <w:rsid w:val="000F60D2"/>
    <w:rsid w:val="001063B2"/>
    <w:rsid w:val="0010748A"/>
    <w:rsid w:val="00161613"/>
    <w:rsid w:val="0017497A"/>
    <w:rsid w:val="00185932"/>
    <w:rsid w:val="00192777"/>
    <w:rsid w:val="001C3249"/>
    <w:rsid w:val="002005B4"/>
    <w:rsid w:val="002230EF"/>
    <w:rsid w:val="002577DC"/>
    <w:rsid w:val="00257A0B"/>
    <w:rsid w:val="002773C6"/>
    <w:rsid w:val="00295E1E"/>
    <w:rsid w:val="002B5894"/>
    <w:rsid w:val="002B74C7"/>
    <w:rsid w:val="002C6840"/>
    <w:rsid w:val="002F5650"/>
    <w:rsid w:val="00310085"/>
    <w:rsid w:val="00392C49"/>
    <w:rsid w:val="00397A7D"/>
    <w:rsid w:val="003D5108"/>
    <w:rsid w:val="003E0B30"/>
    <w:rsid w:val="0041069B"/>
    <w:rsid w:val="00415653"/>
    <w:rsid w:val="004226C6"/>
    <w:rsid w:val="00442452"/>
    <w:rsid w:val="00445655"/>
    <w:rsid w:val="004468B0"/>
    <w:rsid w:val="00446D1C"/>
    <w:rsid w:val="00473757"/>
    <w:rsid w:val="00486833"/>
    <w:rsid w:val="004A7925"/>
    <w:rsid w:val="004B5443"/>
    <w:rsid w:val="004F059B"/>
    <w:rsid w:val="00511048"/>
    <w:rsid w:val="00517716"/>
    <w:rsid w:val="00522A4E"/>
    <w:rsid w:val="0054134D"/>
    <w:rsid w:val="00574C17"/>
    <w:rsid w:val="00582E31"/>
    <w:rsid w:val="005A556D"/>
    <w:rsid w:val="005E2DC1"/>
    <w:rsid w:val="005F668B"/>
    <w:rsid w:val="006178E1"/>
    <w:rsid w:val="006242E8"/>
    <w:rsid w:val="00637A0E"/>
    <w:rsid w:val="006539CC"/>
    <w:rsid w:val="00685E8F"/>
    <w:rsid w:val="006908C6"/>
    <w:rsid w:val="00693D80"/>
    <w:rsid w:val="006B7D18"/>
    <w:rsid w:val="006D77EF"/>
    <w:rsid w:val="006E1970"/>
    <w:rsid w:val="006E259D"/>
    <w:rsid w:val="006E34BE"/>
    <w:rsid w:val="006E4CEF"/>
    <w:rsid w:val="00715314"/>
    <w:rsid w:val="00722F4A"/>
    <w:rsid w:val="00744F0C"/>
    <w:rsid w:val="00756EF3"/>
    <w:rsid w:val="00763B80"/>
    <w:rsid w:val="0077736A"/>
    <w:rsid w:val="007942D8"/>
    <w:rsid w:val="007C4C5F"/>
    <w:rsid w:val="007D16DF"/>
    <w:rsid w:val="007D1C6B"/>
    <w:rsid w:val="007D788D"/>
    <w:rsid w:val="007E0B11"/>
    <w:rsid w:val="007F54BD"/>
    <w:rsid w:val="00802DEB"/>
    <w:rsid w:val="0085349E"/>
    <w:rsid w:val="00856EB0"/>
    <w:rsid w:val="008627A7"/>
    <w:rsid w:val="008635C5"/>
    <w:rsid w:val="008953F3"/>
    <w:rsid w:val="008959AC"/>
    <w:rsid w:val="008975C9"/>
    <w:rsid w:val="008C1FBC"/>
    <w:rsid w:val="008C7B6C"/>
    <w:rsid w:val="008E352C"/>
    <w:rsid w:val="008E497E"/>
    <w:rsid w:val="00937567"/>
    <w:rsid w:val="00947CB2"/>
    <w:rsid w:val="00960961"/>
    <w:rsid w:val="00970466"/>
    <w:rsid w:val="009A223F"/>
    <w:rsid w:val="009A7135"/>
    <w:rsid w:val="009B5901"/>
    <w:rsid w:val="00A07F0F"/>
    <w:rsid w:val="00A36126"/>
    <w:rsid w:val="00A60D0D"/>
    <w:rsid w:val="00A6156E"/>
    <w:rsid w:val="00A67EFD"/>
    <w:rsid w:val="00A778A2"/>
    <w:rsid w:val="00A84793"/>
    <w:rsid w:val="00AB1FCD"/>
    <w:rsid w:val="00AC1418"/>
    <w:rsid w:val="00B04BB9"/>
    <w:rsid w:val="00B20871"/>
    <w:rsid w:val="00B319F6"/>
    <w:rsid w:val="00B65D0D"/>
    <w:rsid w:val="00B7208C"/>
    <w:rsid w:val="00BB2365"/>
    <w:rsid w:val="00BB7F28"/>
    <w:rsid w:val="00BE13DA"/>
    <w:rsid w:val="00BF0114"/>
    <w:rsid w:val="00C02B20"/>
    <w:rsid w:val="00C2164B"/>
    <w:rsid w:val="00C35596"/>
    <w:rsid w:val="00C43E19"/>
    <w:rsid w:val="00C575EE"/>
    <w:rsid w:val="00CB77D1"/>
    <w:rsid w:val="00CF080F"/>
    <w:rsid w:val="00CF47F5"/>
    <w:rsid w:val="00D01277"/>
    <w:rsid w:val="00D15FA7"/>
    <w:rsid w:val="00D26F7B"/>
    <w:rsid w:val="00D32C08"/>
    <w:rsid w:val="00D5354F"/>
    <w:rsid w:val="00D62DE4"/>
    <w:rsid w:val="00D64B47"/>
    <w:rsid w:val="00D67F1C"/>
    <w:rsid w:val="00D7007F"/>
    <w:rsid w:val="00D7592C"/>
    <w:rsid w:val="00D76651"/>
    <w:rsid w:val="00D91E46"/>
    <w:rsid w:val="00DA6294"/>
    <w:rsid w:val="00DD34DC"/>
    <w:rsid w:val="00DE7393"/>
    <w:rsid w:val="00E00DCA"/>
    <w:rsid w:val="00E31E5E"/>
    <w:rsid w:val="00E3590A"/>
    <w:rsid w:val="00E471C9"/>
    <w:rsid w:val="00E715C3"/>
    <w:rsid w:val="00E71E80"/>
    <w:rsid w:val="00E776DB"/>
    <w:rsid w:val="00E950D0"/>
    <w:rsid w:val="00EA4BF1"/>
    <w:rsid w:val="00EE5B5C"/>
    <w:rsid w:val="00EF11AF"/>
    <w:rsid w:val="00F41C05"/>
    <w:rsid w:val="00F82A20"/>
    <w:rsid w:val="00F83B6B"/>
    <w:rsid w:val="00F90F16"/>
    <w:rsid w:val="00F96174"/>
    <w:rsid w:val="00FC11E5"/>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styleId="Kommentarzeichen">
    <w:name w:val="annotation reference"/>
    <w:basedOn w:val="Absatz-Standardschriftart"/>
    <w:uiPriority w:val="99"/>
    <w:semiHidden/>
    <w:unhideWhenUsed/>
    <w:rsid w:val="00BF0114"/>
    <w:rPr>
      <w:sz w:val="16"/>
      <w:szCs w:val="16"/>
    </w:rPr>
  </w:style>
  <w:style w:type="paragraph" w:styleId="Kommentartext">
    <w:name w:val="annotation text"/>
    <w:basedOn w:val="Standard"/>
    <w:link w:val="KommentartextZchn"/>
    <w:uiPriority w:val="99"/>
    <w:semiHidden/>
    <w:unhideWhenUsed/>
    <w:rsid w:val="00BF011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0114"/>
    <w:rPr>
      <w:sz w:val="20"/>
      <w:szCs w:val="20"/>
    </w:rPr>
  </w:style>
  <w:style w:type="paragraph" w:styleId="Kommentarthema">
    <w:name w:val="annotation subject"/>
    <w:basedOn w:val="Kommentartext"/>
    <w:next w:val="Kommentartext"/>
    <w:link w:val="KommentarthemaZchn"/>
    <w:uiPriority w:val="99"/>
    <w:semiHidden/>
    <w:unhideWhenUsed/>
    <w:rsid w:val="00BF0114"/>
    <w:rPr>
      <w:b/>
      <w:bCs/>
    </w:rPr>
  </w:style>
  <w:style w:type="character" w:customStyle="1" w:styleId="KommentarthemaZchn">
    <w:name w:val="Kommentarthema Zchn"/>
    <w:basedOn w:val="KommentartextZchn"/>
    <w:link w:val="Kommentarthema"/>
    <w:uiPriority w:val="99"/>
    <w:semiHidden/>
    <w:rsid w:val="00BF0114"/>
    <w:rPr>
      <w:b/>
      <w:bCs/>
      <w:sz w:val="20"/>
      <w:szCs w:val="20"/>
    </w:rPr>
  </w:style>
  <w:style w:type="paragraph" w:styleId="berarbeitung">
    <w:name w:val="Revision"/>
    <w:hidden/>
    <w:uiPriority w:val="99"/>
    <w:semiHidden/>
    <w:rsid w:val="002773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5154">
      <w:bodyDiv w:val="1"/>
      <w:marLeft w:val="0"/>
      <w:marRight w:val="0"/>
      <w:marTop w:val="0"/>
      <w:marBottom w:val="0"/>
      <w:divBdr>
        <w:top w:val="none" w:sz="0" w:space="0" w:color="auto"/>
        <w:left w:val="none" w:sz="0" w:space="0" w:color="auto"/>
        <w:bottom w:val="none" w:sz="0" w:space="0" w:color="auto"/>
        <w:right w:val="none" w:sz="0" w:space="0" w:color="auto"/>
      </w:divBdr>
    </w:div>
    <w:div w:id="485780709">
      <w:bodyDiv w:val="1"/>
      <w:marLeft w:val="0"/>
      <w:marRight w:val="0"/>
      <w:marTop w:val="0"/>
      <w:marBottom w:val="0"/>
      <w:divBdr>
        <w:top w:val="none" w:sz="0" w:space="0" w:color="auto"/>
        <w:left w:val="none" w:sz="0" w:space="0" w:color="auto"/>
        <w:bottom w:val="none" w:sz="0" w:space="0" w:color="auto"/>
        <w:right w:val="none" w:sz="0" w:space="0" w:color="auto"/>
      </w:divBdr>
    </w:div>
    <w:div w:id="555437736">
      <w:bodyDiv w:val="1"/>
      <w:marLeft w:val="0"/>
      <w:marRight w:val="0"/>
      <w:marTop w:val="0"/>
      <w:marBottom w:val="0"/>
      <w:divBdr>
        <w:top w:val="none" w:sz="0" w:space="0" w:color="auto"/>
        <w:left w:val="none" w:sz="0" w:space="0" w:color="auto"/>
        <w:bottom w:val="none" w:sz="0" w:space="0" w:color="auto"/>
        <w:right w:val="none" w:sz="0" w:space="0" w:color="auto"/>
      </w:divBdr>
      <w:divsChild>
        <w:div w:id="115373529">
          <w:marLeft w:val="0"/>
          <w:marRight w:val="0"/>
          <w:marTop w:val="0"/>
          <w:marBottom w:val="0"/>
          <w:divBdr>
            <w:top w:val="none" w:sz="0" w:space="0" w:color="auto"/>
            <w:left w:val="none" w:sz="0" w:space="0" w:color="auto"/>
            <w:bottom w:val="none" w:sz="0" w:space="0" w:color="auto"/>
            <w:right w:val="none" w:sz="0" w:space="0" w:color="auto"/>
          </w:divBdr>
          <w:divsChild>
            <w:div w:id="16219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0956">
      <w:bodyDiv w:val="1"/>
      <w:marLeft w:val="0"/>
      <w:marRight w:val="0"/>
      <w:marTop w:val="0"/>
      <w:marBottom w:val="0"/>
      <w:divBdr>
        <w:top w:val="none" w:sz="0" w:space="0" w:color="auto"/>
        <w:left w:val="none" w:sz="0" w:space="0" w:color="auto"/>
        <w:bottom w:val="none" w:sz="0" w:space="0" w:color="auto"/>
        <w:right w:val="none" w:sz="0" w:space="0" w:color="auto"/>
      </w:divBdr>
      <w:divsChild>
        <w:div w:id="55855791">
          <w:marLeft w:val="0"/>
          <w:marRight w:val="0"/>
          <w:marTop w:val="0"/>
          <w:marBottom w:val="0"/>
          <w:divBdr>
            <w:top w:val="none" w:sz="0" w:space="0" w:color="auto"/>
            <w:left w:val="none" w:sz="0" w:space="0" w:color="auto"/>
            <w:bottom w:val="none" w:sz="0" w:space="0" w:color="auto"/>
            <w:right w:val="none" w:sz="0" w:space="0" w:color="auto"/>
          </w:divBdr>
          <w:divsChild>
            <w:div w:id="406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2092">
      <w:bodyDiv w:val="1"/>
      <w:marLeft w:val="0"/>
      <w:marRight w:val="0"/>
      <w:marTop w:val="0"/>
      <w:marBottom w:val="0"/>
      <w:divBdr>
        <w:top w:val="none" w:sz="0" w:space="0" w:color="auto"/>
        <w:left w:val="none" w:sz="0" w:space="0" w:color="auto"/>
        <w:bottom w:val="none" w:sz="0" w:space="0" w:color="auto"/>
        <w:right w:val="none" w:sz="0" w:space="0" w:color="auto"/>
      </w:divBdr>
    </w:div>
    <w:div w:id="952128864">
      <w:bodyDiv w:val="1"/>
      <w:marLeft w:val="0"/>
      <w:marRight w:val="0"/>
      <w:marTop w:val="0"/>
      <w:marBottom w:val="0"/>
      <w:divBdr>
        <w:top w:val="none" w:sz="0" w:space="0" w:color="auto"/>
        <w:left w:val="none" w:sz="0" w:space="0" w:color="auto"/>
        <w:bottom w:val="none" w:sz="0" w:space="0" w:color="auto"/>
        <w:right w:val="none" w:sz="0" w:space="0" w:color="auto"/>
      </w:divBdr>
    </w:div>
    <w:div w:id="991564847">
      <w:bodyDiv w:val="1"/>
      <w:marLeft w:val="0"/>
      <w:marRight w:val="0"/>
      <w:marTop w:val="0"/>
      <w:marBottom w:val="0"/>
      <w:divBdr>
        <w:top w:val="none" w:sz="0" w:space="0" w:color="auto"/>
        <w:left w:val="none" w:sz="0" w:space="0" w:color="auto"/>
        <w:bottom w:val="none" w:sz="0" w:space="0" w:color="auto"/>
        <w:right w:val="none" w:sz="0" w:space="0" w:color="auto"/>
      </w:divBdr>
    </w:div>
    <w:div w:id="1325011316">
      <w:bodyDiv w:val="1"/>
      <w:marLeft w:val="0"/>
      <w:marRight w:val="0"/>
      <w:marTop w:val="0"/>
      <w:marBottom w:val="0"/>
      <w:divBdr>
        <w:top w:val="none" w:sz="0" w:space="0" w:color="auto"/>
        <w:left w:val="none" w:sz="0" w:space="0" w:color="auto"/>
        <w:bottom w:val="none" w:sz="0" w:space="0" w:color="auto"/>
        <w:right w:val="none" w:sz="0" w:space="0" w:color="auto"/>
      </w:divBdr>
      <w:divsChild>
        <w:div w:id="718096311">
          <w:marLeft w:val="0"/>
          <w:marRight w:val="0"/>
          <w:marTop w:val="0"/>
          <w:marBottom w:val="0"/>
          <w:divBdr>
            <w:top w:val="none" w:sz="0" w:space="0" w:color="auto"/>
            <w:left w:val="none" w:sz="0" w:space="0" w:color="auto"/>
            <w:bottom w:val="none" w:sz="0" w:space="0" w:color="auto"/>
            <w:right w:val="none" w:sz="0" w:space="0" w:color="auto"/>
          </w:divBdr>
        </w:div>
      </w:divsChild>
    </w:div>
    <w:div w:id="1385637847">
      <w:bodyDiv w:val="1"/>
      <w:marLeft w:val="0"/>
      <w:marRight w:val="0"/>
      <w:marTop w:val="0"/>
      <w:marBottom w:val="0"/>
      <w:divBdr>
        <w:top w:val="none" w:sz="0" w:space="0" w:color="auto"/>
        <w:left w:val="none" w:sz="0" w:space="0" w:color="auto"/>
        <w:bottom w:val="none" w:sz="0" w:space="0" w:color="auto"/>
        <w:right w:val="none" w:sz="0" w:space="0" w:color="auto"/>
      </w:divBdr>
      <w:divsChild>
        <w:div w:id="1949969416">
          <w:marLeft w:val="0"/>
          <w:marRight w:val="0"/>
          <w:marTop w:val="0"/>
          <w:marBottom w:val="0"/>
          <w:divBdr>
            <w:top w:val="none" w:sz="0" w:space="0" w:color="auto"/>
            <w:left w:val="none" w:sz="0" w:space="0" w:color="auto"/>
            <w:bottom w:val="none" w:sz="0" w:space="0" w:color="auto"/>
            <w:right w:val="none" w:sz="0" w:space="0" w:color="auto"/>
          </w:divBdr>
        </w:div>
      </w:divsChild>
    </w:div>
    <w:div w:id="1564294942">
      <w:bodyDiv w:val="1"/>
      <w:marLeft w:val="0"/>
      <w:marRight w:val="0"/>
      <w:marTop w:val="0"/>
      <w:marBottom w:val="0"/>
      <w:divBdr>
        <w:top w:val="none" w:sz="0" w:space="0" w:color="auto"/>
        <w:left w:val="none" w:sz="0" w:space="0" w:color="auto"/>
        <w:bottom w:val="none" w:sz="0" w:space="0" w:color="auto"/>
        <w:right w:val="none" w:sz="0" w:space="0" w:color="auto"/>
      </w:divBdr>
      <w:divsChild>
        <w:div w:id="610750202">
          <w:marLeft w:val="0"/>
          <w:marRight w:val="0"/>
          <w:marTop w:val="0"/>
          <w:marBottom w:val="0"/>
          <w:divBdr>
            <w:top w:val="none" w:sz="0" w:space="0" w:color="auto"/>
            <w:left w:val="none" w:sz="0" w:space="0" w:color="auto"/>
            <w:bottom w:val="none" w:sz="0" w:space="0" w:color="auto"/>
            <w:right w:val="none" w:sz="0" w:space="0" w:color="auto"/>
          </w:divBdr>
        </w:div>
      </w:divsChild>
    </w:div>
    <w:div w:id="19192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1299</Words>
  <Characters>8188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22</cp:revision>
  <cp:lastPrinted>2022-02-16T20:14:00Z</cp:lastPrinted>
  <dcterms:created xsi:type="dcterms:W3CDTF">2022-11-04T13:23:00Z</dcterms:created>
  <dcterms:modified xsi:type="dcterms:W3CDTF">2022-11-21T13:05:00Z</dcterms:modified>
</cp:coreProperties>
</file>