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939F" w14:textId="77777777" w:rsidR="008B5DA9" w:rsidRPr="003C2CBE" w:rsidRDefault="008B5DA9" w:rsidP="008B5DA9">
      <w:pPr>
        <w:rPr>
          <w:rFonts w:ascii="Open Sans" w:hAnsi="Open Sans" w:cs="Open Sans"/>
          <w:b/>
          <w:bCs/>
          <w:sz w:val="36"/>
          <w:szCs w:val="36"/>
        </w:rPr>
      </w:pPr>
      <w:r w:rsidRPr="003C2CBE">
        <w:rPr>
          <w:rFonts w:ascii="Open Sans" w:hAnsi="Open Sans" w:cs="Open Sans"/>
          <w:b/>
          <w:bCs/>
          <w:sz w:val="36"/>
          <w:szCs w:val="36"/>
        </w:rPr>
        <w:t>§ 25 II StGB – Mittäterschaft (getrennte Prüfung)</w:t>
      </w:r>
    </w:p>
    <w:p w14:paraId="4538D0C1" w14:textId="77777777" w:rsidR="005A1B6D" w:rsidRDefault="005A1B6D" w:rsidP="005A1B6D">
      <w:pPr>
        <w:pStyle w:val="SchemaDefinitionenHeader"/>
      </w:pPr>
      <w:r>
        <w:t>Definitionen</w:t>
      </w:r>
    </w:p>
    <w:p w14:paraId="2FAD482B" w14:textId="77777777" w:rsidR="005A1B6D" w:rsidRDefault="005A1B6D" w:rsidP="005A1B6D">
      <w:pPr>
        <w:pStyle w:val="SchemaDefinitionenHeader"/>
        <w:rPr>
          <w:color w:val="auto"/>
        </w:rPr>
      </w:pPr>
    </w:p>
    <w:p w14:paraId="25B65B1C" w14:textId="35A7D3D0" w:rsidR="005A1B6D" w:rsidRDefault="008B5DA9" w:rsidP="005A1B6D">
      <w:pPr>
        <w:pStyle w:val="SchemaDefinitionenHeader"/>
        <w:rPr>
          <w:color w:val="auto"/>
        </w:rPr>
      </w:pPr>
      <w:r>
        <w:rPr>
          <w:color w:val="auto"/>
        </w:rPr>
        <w:t>Gemeinsamer Tatplan</w:t>
      </w:r>
    </w:p>
    <w:p w14:paraId="29310516" w14:textId="1C78D25B" w:rsidR="008B5DA9" w:rsidRPr="003C2CBE" w:rsidRDefault="008B5DA9" w:rsidP="008B5DA9">
      <w:pPr>
        <w:pStyle w:val="SchemaDefinitionenHeader"/>
        <w:ind w:left="2124"/>
        <w:rPr>
          <w:iCs/>
          <w:color w:val="auto"/>
        </w:rPr>
      </w:pPr>
      <w:r w:rsidRPr="003C2CBE">
        <w:rPr>
          <w:iCs/>
          <w:color w:val="auto"/>
        </w:rPr>
        <w:t>Zwei oder mehrere Personen verabreden sich ernsthaft, eine bestimmte Tat gemeinsam zu begehen. Dies kann ausdrücklich oder konkludent erklärt werden.</w:t>
      </w:r>
      <w:r w:rsidR="00042B85">
        <w:rPr>
          <w:iCs/>
          <w:color w:val="auto"/>
        </w:rPr>
        <w:t xml:space="preserve"> </w:t>
      </w:r>
      <w:r w:rsidR="00042B85">
        <w:rPr>
          <w:iCs/>
          <w:color w:val="000000" w:themeColor="text1"/>
        </w:rPr>
        <w:t>Die Zustimmung kann auch noch im Moment der Tatbestandsverwirklichung erfolgen</w:t>
      </w:r>
    </w:p>
    <w:p w14:paraId="18F8E40F" w14:textId="1836B8EF" w:rsidR="005A1B6D" w:rsidRDefault="005A1B6D" w:rsidP="005A1B6D">
      <w:pPr>
        <w:pStyle w:val="SchemaDefinitionenHeader"/>
        <w:rPr>
          <w:color w:val="auto"/>
        </w:rPr>
      </w:pPr>
    </w:p>
    <w:p w14:paraId="06617688" w14:textId="615E92D6" w:rsidR="00042B85" w:rsidRDefault="00042B85" w:rsidP="005A1B6D">
      <w:pPr>
        <w:pStyle w:val="SchemaDefinitionenHeader"/>
        <w:rPr>
          <w:color w:val="auto"/>
        </w:rPr>
      </w:pPr>
      <w:r>
        <w:rPr>
          <w:color w:val="auto"/>
        </w:rPr>
        <w:t>Gemeinsame (arbeitsteilige) Tatbegehung</w:t>
      </w:r>
    </w:p>
    <w:p w14:paraId="2790CB21" w14:textId="77777777" w:rsidR="00042B85" w:rsidRPr="0063586F" w:rsidRDefault="00042B85" w:rsidP="00042B85">
      <w:pPr>
        <w:pStyle w:val="SchemaDefinitionenHeader"/>
        <w:ind w:left="2124"/>
        <w:rPr>
          <w:iCs/>
          <w:color w:val="000000" w:themeColor="text1"/>
        </w:rPr>
      </w:pPr>
      <w:r w:rsidRPr="0063586F">
        <w:rPr>
          <w:iCs/>
          <w:color w:val="000000" w:themeColor="text1"/>
        </w:rPr>
        <w:t xml:space="preserve">Nach § 25 II StGB wird dann „jeder als Täter bestraft, wenn mehrere die Straftat gemeinschaftlich begehen“. Eine gemeinsame (arbeitsteilige) Tatbegehung setzt einen eigenen </w:t>
      </w:r>
      <w:r>
        <w:rPr>
          <w:iCs/>
          <w:color w:val="000000" w:themeColor="text1"/>
        </w:rPr>
        <w:t>Tat</w:t>
      </w:r>
      <w:r w:rsidRPr="0063586F">
        <w:rPr>
          <w:iCs/>
          <w:color w:val="000000" w:themeColor="text1"/>
        </w:rPr>
        <w:t>beitrag des Beteiligten voraus und eine Einstufung des Beteiligten als Mittäter.</w:t>
      </w:r>
    </w:p>
    <w:p w14:paraId="0433F5D0" w14:textId="77777777" w:rsidR="00042B85" w:rsidRDefault="00042B85" w:rsidP="005A1B6D">
      <w:pPr>
        <w:pStyle w:val="SchemaDefinitionenHeader"/>
        <w:rPr>
          <w:color w:val="auto"/>
        </w:rPr>
      </w:pPr>
    </w:p>
    <w:p w14:paraId="152C064D" w14:textId="64466AFF" w:rsidR="008B5DA9" w:rsidRDefault="008B5DA9" w:rsidP="005A1B6D">
      <w:pPr>
        <w:pStyle w:val="SchemaDefinitionenHeader"/>
        <w:rPr>
          <w:color w:val="auto"/>
        </w:rPr>
      </w:pPr>
      <w:r>
        <w:rPr>
          <w:color w:val="auto"/>
        </w:rPr>
        <w:t>Tatherrschaftslehre (herrschende Literaturansicht)</w:t>
      </w:r>
    </w:p>
    <w:p w14:paraId="63760C87" w14:textId="77777777" w:rsidR="00042B85" w:rsidRPr="0063586F" w:rsidRDefault="00042B85" w:rsidP="00042B85">
      <w:pPr>
        <w:pStyle w:val="SchemaDefinitionenHeader"/>
        <w:ind w:left="2124"/>
        <w:rPr>
          <w:color w:val="000000" w:themeColor="text1"/>
        </w:rPr>
      </w:pPr>
      <w:r w:rsidRPr="0063586F">
        <w:rPr>
          <w:iCs/>
          <w:color w:val="000000" w:themeColor="text1"/>
        </w:rPr>
        <w:t xml:space="preserve">Nach der </w:t>
      </w:r>
      <w:r w:rsidRPr="00042B85">
        <w:rPr>
          <w:i/>
          <w:color w:val="000000" w:themeColor="text1"/>
        </w:rPr>
        <w:t>Tatherrschaftslehre</w:t>
      </w:r>
      <w:r w:rsidRPr="0063586F">
        <w:rPr>
          <w:iCs/>
          <w:color w:val="000000" w:themeColor="text1"/>
        </w:rPr>
        <w:t xml:space="preserve"> ist </w:t>
      </w:r>
      <w:r w:rsidRPr="0063586F">
        <w:rPr>
          <w:i/>
          <w:iCs/>
          <w:color w:val="000000" w:themeColor="text1"/>
        </w:rPr>
        <w:t xml:space="preserve">Täter </w:t>
      </w:r>
      <w:r w:rsidRPr="0063586F">
        <w:rPr>
          <w:color w:val="000000" w:themeColor="text1"/>
        </w:rPr>
        <w:t xml:space="preserve">derjenige, der die Tat beherrscht, das Tatgeschehen „in Händen hält“, über „Ob“ und „Wie“ der Tat maßgeblich entscheidet und somit „Zentralgestalt des Geschehens“ der Tatbestandsverwirklichung ist. Dabei kann der Tatbeitrag im Stadium der Planung und/oder im Rahmen der Ausführung stattfinden. </w:t>
      </w:r>
    </w:p>
    <w:p w14:paraId="0F260B83" w14:textId="77777777" w:rsidR="008B5DA9" w:rsidRPr="003C2CBE" w:rsidRDefault="008B5DA9" w:rsidP="008B5DA9">
      <w:pPr>
        <w:pStyle w:val="SchemaDefinitionenHeader"/>
        <w:ind w:left="2124"/>
        <w:rPr>
          <w:color w:val="auto"/>
        </w:rPr>
      </w:pPr>
      <w:r w:rsidRPr="003C2CBE">
        <w:rPr>
          <w:i/>
          <w:iCs/>
          <w:color w:val="auto"/>
        </w:rPr>
        <w:t>Teilnehmer</w:t>
      </w:r>
      <w:r w:rsidRPr="003C2CBE">
        <w:rPr>
          <w:color w:val="auto"/>
        </w:rPr>
        <w:t xml:space="preserve"> ist entsprechend derjenige, der lediglich Randfigur des Geschehens ist und dessen Mitwirkung sich in dem Hervorrufen des Tatentschlusses (Anstifter) oder dem Hilfeleisten (Beihilfe) erschöpft.</w:t>
      </w:r>
    </w:p>
    <w:p w14:paraId="7C83AF05" w14:textId="30219448" w:rsidR="008B5DA9" w:rsidRDefault="008B5DA9" w:rsidP="005A1B6D">
      <w:pPr>
        <w:pStyle w:val="SchemaDefinitionenHeader"/>
        <w:rPr>
          <w:color w:val="auto"/>
        </w:rPr>
      </w:pPr>
    </w:p>
    <w:p w14:paraId="43F90BF6" w14:textId="61794D33" w:rsidR="00042B85" w:rsidRPr="00615317" w:rsidRDefault="00042B85" w:rsidP="00042B85">
      <w:pPr>
        <w:pStyle w:val="SchemaDefinitionenHeader"/>
        <w:rPr>
          <w:color w:val="000000" w:themeColor="text1"/>
        </w:rPr>
      </w:pPr>
      <w:r w:rsidRPr="00615317">
        <w:rPr>
          <w:color w:val="000000" w:themeColor="text1"/>
        </w:rPr>
        <w:t>Normative Kombinationslehre (BGH)</w:t>
      </w:r>
    </w:p>
    <w:p w14:paraId="444CC411" w14:textId="0593859B" w:rsidR="00042B85" w:rsidRPr="0063586F" w:rsidRDefault="00042B85" w:rsidP="00042B85">
      <w:pPr>
        <w:pStyle w:val="SchemaDefinitionenHeader"/>
        <w:ind w:left="2124"/>
        <w:rPr>
          <w:color w:val="000000" w:themeColor="text1"/>
        </w:rPr>
      </w:pPr>
      <w:bookmarkStart w:id="0" w:name="_Hlk109147322"/>
      <w:r w:rsidRPr="0063586F">
        <w:rPr>
          <w:color w:val="000000" w:themeColor="text1"/>
        </w:rPr>
        <w:t>Der BGH rückte nach und nach von der früher vertretenen subjektiven Theorie ab, wonach Täter derjenige ist, der mit Täterwillen handelt und die Tat als eigene will (</w:t>
      </w:r>
      <w:proofErr w:type="spellStart"/>
      <w:r w:rsidRPr="0063586F">
        <w:rPr>
          <w:color w:val="000000" w:themeColor="text1"/>
        </w:rPr>
        <w:t>animus</w:t>
      </w:r>
      <w:proofErr w:type="spellEnd"/>
      <w:r w:rsidRPr="0063586F">
        <w:rPr>
          <w:color w:val="000000" w:themeColor="text1"/>
        </w:rPr>
        <w:t xml:space="preserve"> </w:t>
      </w:r>
      <w:proofErr w:type="spellStart"/>
      <w:r w:rsidRPr="0063586F">
        <w:rPr>
          <w:color w:val="000000" w:themeColor="text1"/>
        </w:rPr>
        <w:t>auctoris</w:t>
      </w:r>
      <w:proofErr w:type="spellEnd"/>
      <w:r w:rsidRPr="0063586F">
        <w:rPr>
          <w:color w:val="000000" w:themeColor="text1"/>
        </w:rPr>
        <w:t>) und Teilnehmer derjenige, der mit Teilnehmerwillen (</w:t>
      </w:r>
      <w:proofErr w:type="spellStart"/>
      <w:r w:rsidRPr="0063586F">
        <w:rPr>
          <w:color w:val="000000" w:themeColor="text1"/>
        </w:rPr>
        <w:t>animus</w:t>
      </w:r>
      <w:proofErr w:type="spellEnd"/>
      <w:r w:rsidRPr="0063586F">
        <w:rPr>
          <w:color w:val="000000" w:themeColor="text1"/>
        </w:rPr>
        <w:t xml:space="preserve"> </w:t>
      </w:r>
      <w:proofErr w:type="spellStart"/>
      <w:r w:rsidRPr="0063586F">
        <w:rPr>
          <w:color w:val="000000" w:themeColor="text1"/>
        </w:rPr>
        <w:t>socii</w:t>
      </w:r>
      <w:proofErr w:type="spellEnd"/>
      <w:r w:rsidRPr="0063586F">
        <w:rPr>
          <w:color w:val="000000" w:themeColor="text1"/>
        </w:rPr>
        <w:t xml:space="preserve">) tätig wird und die Tat als fremde Tat veranlassen oder fördern möchte. </w:t>
      </w:r>
    </w:p>
    <w:p w14:paraId="500AA900" w14:textId="532242E7" w:rsidR="00042B85" w:rsidRPr="0063586F" w:rsidRDefault="00042B85" w:rsidP="00042B85">
      <w:pPr>
        <w:pStyle w:val="SchemaDefinitionenHeader"/>
        <w:ind w:left="2124"/>
        <w:rPr>
          <w:color w:val="000000" w:themeColor="text1"/>
        </w:rPr>
      </w:pPr>
      <w:r w:rsidRPr="0063586F">
        <w:rPr>
          <w:color w:val="000000" w:themeColor="text1"/>
        </w:rPr>
        <w:t xml:space="preserve">Der heutige Ansatz des </w:t>
      </w:r>
      <w:proofErr w:type="spellStart"/>
      <w:r w:rsidRPr="0063586F">
        <w:rPr>
          <w:color w:val="000000" w:themeColor="text1"/>
        </w:rPr>
        <w:t>BGH‘s</w:t>
      </w:r>
      <w:proofErr w:type="spellEnd"/>
      <w:r w:rsidRPr="0063586F">
        <w:rPr>
          <w:color w:val="000000" w:themeColor="text1"/>
        </w:rPr>
        <w:t xml:space="preserve"> ist eine Mischung aus objektiven Kriterien der Tatherrschaftslehre und der subjektiven Theorie, wobei eine wertende Betrachtung anzustrengen ist. Kriterien, um die </w:t>
      </w:r>
      <w:r w:rsidRPr="0063586F">
        <w:rPr>
          <w:color w:val="000000" w:themeColor="text1"/>
        </w:rPr>
        <w:lastRenderedPageBreak/>
        <w:t>Mittäterschaft von sonstiger Beteiligung abgrenzen zu können, sind demnach: Der Grad des eigenen Interesses am Erfolg der Tat, der Umfang der Tatbeteiligung, die objektive Tatherrschaft und der subjektive Wille zur Tatherrschaft.</w:t>
      </w:r>
    </w:p>
    <w:bookmarkEnd w:id="0"/>
    <w:p w14:paraId="4E1CF224" w14:textId="77777777" w:rsidR="008B5DA9" w:rsidRDefault="008B5DA9" w:rsidP="005A1B6D">
      <w:pPr>
        <w:pStyle w:val="SchemaDefinitionenHeader"/>
        <w:rPr>
          <w:color w:val="auto"/>
        </w:rPr>
      </w:pPr>
    </w:p>
    <w:p w14:paraId="7AF8C2C8" w14:textId="41ADBE90" w:rsidR="008B5DA9" w:rsidRDefault="008B5DA9" w:rsidP="005A1B6D">
      <w:pPr>
        <w:pStyle w:val="SchemaDefinitionenHeader"/>
        <w:rPr>
          <w:color w:val="auto"/>
        </w:rPr>
      </w:pPr>
      <w:r>
        <w:rPr>
          <w:color w:val="auto"/>
        </w:rPr>
        <w:t>Mittäterexzess</w:t>
      </w:r>
    </w:p>
    <w:p w14:paraId="6A5F188D" w14:textId="77777777" w:rsidR="008B5DA9" w:rsidRPr="003C2CBE" w:rsidRDefault="008B5DA9" w:rsidP="008B5DA9">
      <w:pPr>
        <w:pStyle w:val="SchemaDefinitionenHeader"/>
        <w:ind w:left="2160"/>
        <w:rPr>
          <w:color w:val="auto"/>
        </w:rPr>
      </w:pPr>
      <w:r w:rsidRPr="003C2CBE">
        <w:rPr>
          <w:color w:val="auto"/>
        </w:rPr>
        <w:t xml:space="preserve">Es ist höchst unwahrscheinlich, dass die Tatbegehung bis ins kleinste Detail abgesprochen wird. Auch ist es höchst unwahrscheinlich, dass der konkrete Plan eins zu eins so umgesetzt wird, da immer Abweichungen möglich sind. Beachte, dass lediglich </w:t>
      </w:r>
      <w:r w:rsidRPr="003C2CBE">
        <w:rPr>
          <w:i/>
          <w:iCs/>
          <w:color w:val="auto"/>
        </w:rPr>
        <w:t>wesentliche</w:t>
      </w:r>
      <w:r w:rsidRPr="003C2CBE">
        <w:rPr>
          <w:color w:val="auto"/>
        </w:rPr>
        <w:t xml:space="preserve"> Abweichungen eine Zurechnung über § 25 II StGB verhindern.</w:t>
      </w:r>
    </w:p>
    <w:p w14:paraId="5D3DC5B8" w14:textId="0E542741" w:rsidR="008B5DA9" w:rsidRPr="003C2CBE" w:rsidRDefault="008B5DA9" w:rsidP="008B5DA9">
      <w:pPr>
        <w:pStyle w:val="SchemaDefinitionenHeader"/>
        <w:ind w:left="2160"/>
        <w:rPr>
          <w:color w:val="auto"/>
        </w:rPr>
      </w:pPr>
      <w:r w:rsidRPr="003C2CBE">
        <w:rPr>
          <w:color w:val="auto"/>
        </w:rPr>
        <w:t>Wesentlich ist eine Abweichung beispielsweise, wenn ein Mittäter während eines geplanten Diebstahls ohne das Wissen der anderen plötzlich ein Messer zückt und den bellenden Hund tötet.</w:t>
      </w:r>
    </w:p>
    <w:p w14:paraId="174B3558" w14:textId="77777777" w:rsidR="005A1B6D" w:rsidRDefault="005A1B6D" w:rsidP="005A1B6D">
      <w:pPr>
        <w:jc w:val="both"/>
        <w:rPr>
          <w:rFonts w:ascii="Open Sans" w:hAnsi="Open Sans" w:cs="Open Sans"/>
          <w:bCs/>
        </w:rPr>
      </w:pPr>
    </w:p>
    <w:p w14:paraId="3B4A2EC9" w14:textId="77777777" w:rsidR="005A1B6D" w:rsidRDefault="005A1B6D" w:rsidP="005A1B6D">
      <w:pPr>
        <w:jc w:val="both"/>
        <w:rPr>
          <w:rFonts w:ascii="Open Sans" w:hAnsi="Open Sans" w:cs="Open Sans"/>
          <w:bCs/>
        </w:rPr>
      </w:pPr>
    </w:p>
    <w:p w14:paraId="3DEB1AF2" w14:textId="77777777" w:rsidR="00042B85" w:rsidRPr="0063586F" w:rsidRDefault="00042B85" w:rsidP="00042B85">
      <w:pPr>
        <w:rPr>
          <w:rFonts w:ascii="Open Sans" w:hAnsi="Open Sans" w:cs="Open Sans"/>
          <w:color w:val="000000" w:themeColor="text1"/>
        </w:rPr>
      </w:pPr>
      <w:bookmarkStart w:id="1" w:name="_Hlk109147392"/>
      <w:r w:rsidRPr="0063586F">
        <w:rPr>
          <w:rFonts w:ascii="Open Sans" w:hAnsi="Open Sans" w:cs="Open Sans"/>
          <w:color w:val="000000" w:themeColor="text1"/>
        </w:rPr>
        <w:t>Quellen:</w:t>
      </w:r>
    </w:p>
    <w:p w14:paraId="7F757E24" w14:textId="77777777" w:rsidR="00042B85" w:rsidRPr="0063586F" w:rsidRDefault="00042B85" w:rsidP="00042B85">
      <w:pPr>
        <w:rPr>
          <w:rFonts w:ascii="Open Sans" w:hAnsi="Open Sans" w:cs="Open Sans"/>
          <w:color w:val="000000" w:themeColor="text1"/>
        </w:rPr>
      </w:pPr>
      <w:r w:rsidRPr="0063586F">
        <w:rPr>
          <w:rFonts w:ascii="Open Sans" w:hAnsi="Open Sans" w:cs="Open Sans"/>
          <w:color w:val="000000" w:themeColor="text1"/>
        </w:rPr>
        <w:t xml:space="preserve">Fischer, 67. Aufl. 2020, StGB § 25 </w:t>
      </w:r>
      <w:proofErr w:type="spellStart"/>
      <w:r w:rsidRPr="0063586F">
        <w:rPr>
          <w:rFonts w:ascii="Open Sans" w:hAnsi="Open Sans" w:cs="Open Sans"/>
          <w:color w:val="000000" w:themeColor="text1"/>
        </w:rPr>
        <w:t>Rn</w:t>
      </w:r>
      <w:proofErr w:type="spellEnd"/>
      <w:r w:rsidRPr="0063586F">
        <w:rPr>
          <w:rFonts w:ascii="Open Sans" w:hAnsi="Open Sans" w:cs="Open Sans"/>
          <w:color w:val="000000" w:themeColor="text1"/>
        </w:rPr>
        <w:t>. 26 f.</w:t>
      </w:r>
    </w:p>
    <w:p w14:paraId="59752F2D" w14:textId="77777777" w:rsidR="00042B85" w:rsidRPr="0063586F" w:rsidRDefault="00042B85" w:rsidP="00042B85">
      <w:pPr>
        <w:rPr>
          <w:rFonts w:ascii="Open Sans" w:hAnsi="Open Sans" w:cs="Open Sans"/>
          <w:color w:val="000000" w:themeColor="text1"/>
        </w:rPr>
      </w:pPr>
      <w:r w:rsidRPr="0063586F">
        <w:rPr>
          <w:rFonts w:ascii="Open Sans" w:hAnsi="Open Sans" w:cs="Open Sans"/>
          <w:color w:val="000000" w:themeColor="text1"/>
        </w:rPr>
        <w:t>Roxin, Täterschaft und Teilnahme, 10. Auflage 2019, II, 25/27.</w:t>
      </w:r>
    </w:p>
    <w:p w14:paraId="7F9FB42D" w14:textId="77777777" w:rsidR="00042B85" w:rsidRDefault="00042B85" w:rsidP="00042B85">
      <w:pPr>
        <w:rPr>
          <w:rFonts w:ascii="Open Sans" w:hAnsi="Open Sans" w:cs="Open Sans"/>
          <w:color w:val="000000" w:themeColor="text1"/>
        </w:rPr>
      </w:pPr>
      <w:r w:rsidRPr="00AB5443">
        <w:rPr>
          <w:rFonts w:ascii="Open Sans" w:hAnsi="Open Sans" w:cs="Open Sans"/>
          <w:bCs/>
        </w:rPr>
        <w:t>M</w:t>
      </w:r>
      <w:r>
        <w:rPr>
          <w:rFonts w:ascii="Open Sans" w:hAnsi="Open Sans" w:cs="Open Sans"/>
          <w:bCs/>
        </w:rPr>
        <w:t xml:space="preserve">ünchener Kommentar zum StGB </w:t>
      </w:r>
      <w:r w:rsidRPr="00C46280">
        <w:rPr>
          <w:rFonts w:ascii="Open Sans" w:hAnsi="Open Sans" w:cs="Open Sans"/>
          <w:color w:val="000000" w:themeColor="text1"/>
        </w:rPr>
        <w:t>/</w:t>
      </w:r>
      <w:r>
        <w:rPr>
          <w:rFonts w:ascii="Open Sans" w:hAnsi="Open Sans" w:cs="Open Sans"/>
          <w:color w:val="000000" w:themeColor="text1"/>
        </w:rPr>
        <w:t xml:space="preserve"> </w:t>
      </w:r>
      <w:r w:rsidRPr="00C46280">
        <w:rPr>
          <w:rFonts w:ascii="Open Sans" w:hAnsi="Open Sans" w:cs="Open Sans"/>
          <w:color w:val="000000" w:themeColor="text1"/>
        </w:rPr>
        <w:t xml:space="preserve">Joecks/Scheinfeld, 4. Aufl. 2020, </w:t>
      </w:r>
      <w:r w:rsidRPr="00DD28C0">
        <w:rPr>
          <w:rFonts w:ascii="Open Sans" w:hAnsi="Open Sans" w:cs="Open Sans"/>
          <w:color w:val="000000" w:themeColor="text1"/>
        </w:rPr>
        <w:t xml:space="preserve">§ 16 </w:t>
      </w:r>
      <w:proofErr w:type="spellStart"/>
      <w:r w:rsidRPr="00DD28C0">
        <w:rPr>
          <w:rFonts w:ascii="Open Sans" w:hAnsi="Open Sans" w:cs="Open Sans"/>
          <w:color w:val="000000" w:themeColor="text1"/>
        </w:rPr>
        <w:t>Rn</w:t>
      </w:r>
      <w:proofErr w:type="spellEnd"/>
      <w:r w:rsidRPr="00DD28C0">
        <w:rPr>
          <w:rFonts w:ascii="Open Sans" w:hAnsi="Open Sans" w:cs="Open Sans"/>
          <w:color w:val="000000" w:themeColor="text1"/>
        </w:rPr>
        <w:t>. 99</w:t>
      </w:r>
      <w:r>
        <w:rPr>
          <w:rFonts w:ascii="Open Sans" w:hAnsi="Open Sans" w:cs="Open Sans"/>
          <w:color w:val="000000" w:themeColor="text1"/>
        </w:rPr>
        <w:t xml:space="preserve">; </w:t>
      </w:r>
      <w:r w:rsidRPr="00C46280">
        <w:rPr>
          <w:rFonts w:ascii="Open Sans" w:hAnsi="Open Sans" w:cs="Open Sans"/>
          <w:color w:val="000000" w:themeColor="text1"/>
        </w:rPr>
        <w:t xml:space="preserve">§ 25 </w:t>
      </w:r>
      <w:proofErr w:type="spellStart"/>
      <w:r w:rsidRPr="00C46280">
        <w:rPr>
          <w:rFonts w:ascii="Open Sans" w:hAnsi="Open Sans" w:cs="Open Sans"/>
          <w:color w:val="000000" w:themeColor="text1"/>
        </w:rPr>
        <w:t>Rn</w:t>
      </w:r>
      <w:proofErr w:type="spellEnd"/>
      <w:r w:rsidRPr="00C46280">
        <w:rPr>
          <w:rFonts w:ascii="Open Sans" w:hAnsi="Open Sans" w:cs="Open Sans"/>
          <w:color w:val="000000" w:themeColor="text1"/>
        </w:rPr>
        <w:t>. 208 ff</w:t>
      </w:r>
      <w:r>
        <w:rPr>
          <w:rFonts w:ascii="Open Sans" w:hAnsi="Open Sans" w:cs="Open Sans"/>
          <w:color w:val="000000" w:themeColor="text1"/>
        </w:rPr>
        <w:t xml:space="preserve">.; </w:t>
      </w:r>
      <w:r w:rsidRPr="009B6895">
        <w:rPr>
          <w:rFonts w:ascii="Open Sans" w:hAnsi="Open Sans" w:cs="Open Sans"/>
          <w:color w:val="000000" w:themeColor="text1"/>
        </w:rPr>
        <w:t>214 ff.</w:t>
      </w:r>
      <w:r>
        <w:rPr>
          <w:rFonts w:ascii="Open Sans" w:hAnsi="Open Sans" w:cs="Open Sans"/>
          <w:color w:val="000000" w:themeColor="text1"/>
        </w:rPr>
        <w:t xml:space="preserve">; </w:t>
      </w:r>
      <w:r w:rsidRPr="009B6895">
        <w:rPr>
          <w:rFonts w:ascii="Open Sans" w:hAnsi="Open Sans" w:cs="Open Sans"/>
          <w:color w:val="000000" w:themeColor="text1"/>
        </w:rPr>
        <w:t>2</w:t>
      </w:r>
      <w:r>
        <w:rPr>
          <w:rFonts w:ascii="Open Sans" w:hAnsi="Open Sans" w:cs="Open Sans"/>
          <w:color w:val="000000" w:themeColor="text1"/>
        </w:rPr>
        <w:t>39.</w:t>
      </w:r>
    </w:p>
    <w:p w14:paraId="2CD01297" w14:textId="77777777" w:rsidR="00042B85" w:rsidRPr="0063586F" w:rsidRDefault="00042B85" w:rsidP="00042B85">
      <w:pPr>
        <w:rPr>
          <w:rFonts w:ascii="Open Sans" w:hAnsi="Open Sans" w:cs="Open Sans"/>
          <w:color w:val="000000" w:themeColor="text1"/>
        </w:rPr>
      </w:pPr>
      <w:proofErr w:type="spellStart"/>
      <w:r w:rsidRPr="0063586F">
        <w:rPr>
          <w:rFonts w:ascii="Open Sans" w:hAnsi="Open Sans" w:cs="Open Sans"/>
          <w:color w:val="000000" w:themeColor="text1"/>
        </w:rPr>
        <w:t>JuS</w:t>
      </w:r>
      <w:proofErr w:type="spellEnd"/>
      <w:r w:rsidRPr="0063586F">
        <w:rPr>
          <w:rFonts w:ascii="Open Sans" w:hAnsi="Open Sans" w:cs="Open Sans"/>
          <w:color w:val="000000" w:themeColor="text1"/>
        </w:rPr>
        <w:t xml:space="preserve"> 2020, 731, 733.</w:t>
      </w:r>
    </w:p>
    <w:p w14:paraId="45660897" w14:textId="77777777" w:rsidR="00042B85" w:rsidRPr="0063586F" w:rsidRDefault="00042B85" w:rsidP="00042B85">
      <w:pPr>
        <w:rPr>
          <w:rFonts w:ascii="Open Sans" w:hAnsi="Open Sans" w:cs="Open Sans"/>
          <w:color w:val="000000" w:themeColor="text1"/>
        </w:rPr>
      </w:pPr>
      <w:r w:rsidRPr="0063586F">
        <w:rPr>
          <w:rFonts w:ascii="Open Sans" w:hAnsi="Open Sans" w:cs="Open Sans"/>
          <w:color w:val="000000" w:themeColor="text1"/>
        </w:rPr>
        <w:t>NStZ 1995, 285.</w:t>
      </w:r>
      <w:bookmarkEnd w:id="1"/>
    </w:p>
    <w:p w14:paraId="2322134F" w14:textId="20C829A6" w:rsidR="00AE748B" w:rsidRPr="00AE748B" w:rsidRDefault="00AE748B" w:rsidP="00AE748B">
      <w:pPr>
        <w:rPr>
          <w:rFonts w:ascii="Open Sans" w:hAnsi="Open Sans" w:cs="Open Sans"/>
        </w:rPr>
      </w:pPr>
    </w:p>
    <w:p w14:paraId="04808329" w14:textId="51345C7D" w:rsidR="00AE748B" w:rsidRPr="00AE748B" w:rsidRDefault="00AE748B" w:rsidP="00AE748B">
      <w:pPr>
        <w:rPr>
          <w:rFonts w:ascii="Open Sans" w:hAnsi="Open Sans" w:cs="Open Sans"/>
        </w:rPr>
      </w:pPr>
    </w:p>
    <w:p w14:paraId="60CD01C6" w14:textId="39F293E8" w:rsidR="00AE748B" w:rsidRDefault="00AE748B" w:rsidP="00AE748B">
      <w:pPr>
        <w:rPr>
          <w:rFonts w:ascii="Open Sans" w:hAnsi="Open Sans" w:cs="Open Sans"/>
        </w:rPr>
      </w:pPr>
    </w:p>
    <w:p w14:paraId="2A20F384" w14:textId="4D2AC653" w:rsidR="00136845" w:rsidRPr="00136845" w:rsidRDefault="00136845" w:rsidP="00136845">
      <w:pPr>
        <w:rPr>
          <w:rFonts w:ascii="Open Sans" w:hAnsi="Open Sans" w:cs="Open Sans"/>
        </w:rPr>
      </w:pPr>
    </w:p>
    <w:p w14:paraId="7D0740E8" w14:textId="1A51ED8F" w:rsidR="00136845" w:rsidRPr="00136845" w:rsidRDefault="00136845" w:rsidP="00136845">
      <w:pPr>
        <w:rPr>
          <w:rFonts w:ascii="Open Sans" w:hAnsi="Open Sans" w:cs="Open Sans"/>
        </w:rPr>
      </w:pPr>
    </w:p>
    <w:p w14:paraId="5413425E" w14:textId="01E5EB91" w:rsidR="00136845" w:rsidRPr="00136845" w:rsidRDefault="00136845" w:rsidP="00136845">
      <w:pPr>
        <w:rPr>
          <w:rFonts w:ascii="Open Sans" w:hAnsi="Open Sans" w:cs="Open Sans"/>
        </w:rPr>
      </w:pPr>
    </w:p>
    <w:p w14:paraId="6C8ABDDD" w14:textId="24A066C1" w:rsidR="00136845" w:rsidRPr="00136845" w:rsidRDefault="00BF386D" w:rsidP="00A27345">
      <w:pPr>
        <w:tabs>
          <w:tab w:val="left" w:pos="1095"/>
          <w:tab w:val="left" w:pos="6960"/>
        </w:tabs>
        <w:rPr>
          <w:rFonts w:ascii="Open Sans" w:hAnsi="Open Sans" w:cs="Open Sans"/>
        </w:rPr>
      </w:pPr>
      <w:r>
        <w:rPr>
          <w:rFonts w:ascii="Open Sans" w:hAnsi="Open Sans" w:cs="Open Sans"/>
        </w:rPr>
        <w:tab/>
      </w:r>
      <w:r w:rsidR="00A27345">
        <w:rPr>
          <w:rFonts w:ascii="Open Sans" w:hAnsi="Open Sans" w:cs="Open Sans"/>
        </w:rPr>
        <w:tab/>
      </w:r>
    </w:p>
    <w:sectPr w:rsidR="00136845" w:rsidRPr="00136845">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79A41" w14:textId="77777777" w:rsidR="003E5C4E" w:rsidRDefault="003E5C4E" w:rsidP="0041069B">
      <w:pPr>
        <w:spacing w:after="0" w:line="240" w:lineRule="auto"/>
      </w:pPr>
      <w:r>
        <w:separator/>
      </w:r>
    </w:p>
  </w:endnote>
  <w:endnote w:type="continuationSeparator" w:id="0">
    <w:p w14:paraId="0EB2D392" w14:textId="77777777" w:rsidR="003E5C4E" w:rsidRDefault="003E5C4E"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2" w:name="_Hlk64808829"/>
        <w:bookmarkStart w:id="3"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FCFC"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2B584F6C"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000000"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2"/>
    <w:bookmarkEnd w:id="3"/>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2F4AF" w14:textId="77777777" w:rsidR="003E5C4E" w:rsidRDefault="003E5C4E" w:rsidP="0041069B">
      <w:pPr>
        <w:spacing w:after="0" w:line="240" w:lineRule="auto"/>
      </w:pPr>
      <w:r>
        <w:separator/>
      </w:r>
    </w:p>
  </w:footnote>
  <w:footnote w:type="continuationSeparator" w:id="0">
    <w:p w14:paraId="62A68A73" w14:textId="77777777" w:rsidR="003E5C4E" w:rsidRDefault="003E5C4E"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4"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5"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6"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7"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8"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2"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3"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448361174">
    <w:abstractNumId w:val="19"/>
  </w:num>
  <w:num w:numId="2" w16cid:durableId="376054064">
    <w:abstractNumId w:val="4"/>
  </w:num>
  <w:num w:numId="3" w16cid:durableId="1448961753">
    <w:abstractNumId w:val="6"/>
  </w:num>
  <w:num w:numId="4" w16cid:durableId="1995527473">
    <w:abstractNumId w:val="21"/>
  </w:num>
  <w:num w:numId="5" w16cid:durableId="1911889250">
    <w:abstractNumId w:val="24"/>
  </w:num>
  <w:num w:numId="6" w16cid:durableId="1650279732">
    <w:abstractNumId w:val="13"/>
  </w:num>
  <w:num w:numId="7" w16cid:durableId="111025528">
    <w:abstractNumId w:val="10"/>
  </w:num>
  <w:num w:numId="8" w16cid:durableId="867985527">
    <w:abstractNumId w:val="16"/>
  </w:num>
  <w:num w:numId="9" w16cid:durableId="585383858">
    <w:abstractNumId w:val="20"/>
  </w:num>
  <w:num w:numId="10" w16cid:durableId="1105462640">
    <w:abstractNumId w:val="11"/>
  </w:num>
  <w:num w:numId="11" w16cid:durableId="494298450">
    <w:abstractNumId w:val="23"/>
  </w:num>
  <w:num w:numId="12" w16cid:durableId="166333401">
    <w:abstractNumId w:val="12"/>
  </w:num>
  <w:num w:numId="13" w16cid:durableId="442267942">
    <w:abstractNumId w:val="22"/>
  </w:num>
  <w:num w:numId="14" w16cid:durableId="1966036249">
    <w:abstractNumId w:val="17"/>
  </w:num>
  <w:num w:numId="15" w16cid:durableId="490216619">
    <w:abstractNumId w:val="9"/>
  </w:num>
  <w:num w:numId="16" w16cid:durableId="972901863">
    <w:abstractNumId w:val="0"/>
  </w:num>
  <w:num w:numId="17" w16cid:durableId="1149859566">
    <w:abstractNumId w:val="14"/>
  </w:num>
  <w:num w:numId="18" w16cid:durableId="1846940569">
    <w:abstractNumId w:val="2"/>
  </w:num>
  <w:num w:numId="19" w16cid:durableId="24404590">
    <w:abstractNumId w:val="15"/>
  </w:num>
  <w:num w:numId="20" w16cid:durableId="1581021004">
    <w:abstractNumId w:val="3"/>
  </w:num>
  <w:num w:numId="21" w16cid:durableId="517278603">
    <w:abstractNumId w:val="8"/>
  </w:num>
  <w:num w:numId="22" w16cid:durableId="1775397960">
    <w:abstractNumId w:val="1"/>
  </w:num>
  <w:num w:numId="23" w16cid:durableId="387073962">
    <w:abstractNumId w:val="7"/>
  </w:num>
  <w:num w:numId="24" w16cid:durableId="367996517">
    <w:abstractNumId w:val="18"/>
  </w:num>
  <w:num w:numId="25" w16cid:durableId="705956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042B85"/>
    <w:rsid w:val="0010748A"/>
    <w:rsid w:val="00123860"/>
    <w:rsid w:val="00136845"/>
    <w:rsid w:val="0017497A"/>
    <w:rsid w:val="00185932"/>
    <w:rsid w:val="00192777"/>
    <w:rsid w:val="002230EF"/>
    <w:rsid w:val="00241692"/>
    <w:rsid w:val="002577DC"/>
    <w:rsid w:val="00257A0B"/>
    <w:rsid w:val="002877FF"/>
    <w:rsid w:val="00295E1E"/>
    <w:rsid w:val="003D5108"/>
    <w:rsid w:val="003E5C4E"/>
    <w:rsid w:val="0041069B"/>
    <w:rsid w:val="00415653"/>
    <w:rsid w:val="00445655"/>
    <w:rsid w:val="00446D1C"/>
    <w:rsid w:val="00473757"/>
    <w:rsid w:val="004A31FD"/>
    <w:rsid w:val="004A7925"/>
    <w:rsid w:val="004F059B"/>
    <w:rsid w:val="00511048"/>
    <w:rsid w:val="00517716"/>
    <w:rsid w:val="00522A4E"/>
    <w:rsid w:val="00574C17"/>
    <w:rsid w:val="005A1B6D"/>
    <w:rsid w:val="005A556D"/>
    <w:rsid w:val="005E2DC1"/>
    <w:rsid w:val="005F668B"/>
    <w:rsid w:val="00615317"/>
    <w:rsid w:val="006178E1"/>
    <w:rsid w:val="006242E8"/>
    <w:rsid w:val="00685E8F"/>
    <w:rsid w:val="00693D80"/>
    <w:rsid w:val="006B7D18"/>
    <w:rsid w:val="006D77EF"/>
    <w:rsid w:val="006E1970"/>
    <w:rsid w:val="00715314"/>
    <w:rsid w:val="00722F4A"/>
    <w:rsid w:val="00744F0C"/>
    <w:rsid w:val="00756EF3"/>
    <w:rsid w:val="00763B80"/>
    <w:rsid w:val="0077736A"/>
    <w:rsid w:val="007C4C5F"/>
    <w:rsid w:val="007D1C6B"/>
    <w:rsid w:val="007D788D"/>
    <w:rsid w:val="007F54BD"/>
    <w:rsid w:val="00832871"/>
    <w:rsid w:val="00856EB0"/>
    <w:rsid w:val="008616A5"/>
    <w:rsid w:val="008627A7"/>
    <w:rsid w:val="008953F3"/>
    <w:rsid w:val="008959AC"/>
    <w:rsid w:val="008975C9"/>
    <w:rsid w:val="008B5DA9"/>
    <w:rsid w:val="008C7B6C"/>
    <w:rsid w:val="008D3586"/>
    <w:rsid w:val="008E352C"/>
    <w:rsid w:val="008E497E"/>
    <w:rsid w:val="009A223F"/>
    <w:rsid w:val="009A7135"/>
    <w:rsid w:val="009B5901"/>
    <w:rsid w:val="00A07F0F"/>
    <w:rsid w:val="00A27345"/>
    <w:rsid w:val="00A60D0D"/>
    <w:rsid w:val="00A6156E"/>
    <w:rsid w:val="00A84793"/>
    <w:rsid w:val="00AE748B"/>
    <w:rsid w:val="00B20871"/>
    <w:rsid w:val="00B319F6"/>
    <w:rsid w:val="00B65D0D"/>
    <w:rsid w:val="00B7208C"/>
    <w:rsid w:val="00B74F65"/>
    <w:rsid w:val="00B913B7"/>
    <w:rsid w:val="00BB2365"/>
    <w:rsid w:val="00BC32B8"/>
    <w:rsid w:val="00BE13DA"/>
    <w:rsid w:val="00BF386D"/>
    <w:rsid w:val="00C2164B"/>
    <w:rsid w:val="00C35596"/>
    <w:rsid w:val="00CF47F5"/>
    <w:rsid w:val="00D01277"/>
    <w:rsid w:val="00D15FA7"/>
    <w:rsid w:val="00D7007F"/>
    <w:rsid w:val="00D7592C"/>
    <w:rsid w:val="00D76651"/>
    <w:rsid w:val="00DD34DC"/>
    <w:rsid w:val="00DE7393"/>
    <w:rsid w:val="00E00DCA"/>
    <w:rsid w:val="00E235DB"/>
    <w:rsid w:val="00E31E5E"/>
    <w:rsid w:val="00E471C9"/>
    <w:rsid w:val="00E715C3"/>
    <w:rsid w:val="00E950D0"/>
    <w:rsid w:val="00EA4BF1"/>
    <w:rsid w:val="00EE5B5C"/>
    <w:rsid w:val="00EF11AF"/>
    <w:rsid w:val="00F41C05"/>
    <w:rsid w:val="00F51C25"/>
    <w:rsid w:val="00F90F16"/>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character" w:styleId="Kommentarzeichen">
    <w:name w:val="annotation reference"/>
    <w:basedOn w:val="Absatz-Standardschriftart"/>
    <w:uiPriority w:val="99"/>
    <w:semiHidden/>
    <w:unhideWhenUsed/>
    <w:rsid w:val="008B5DA9"/>
    <w:rPr>
      <w:sz w:val="16"/>
      <w:szCs w:val="16"/>
    </w:rPr>
  </w:style>
  <w:style w:type="paragraph" w:styleId="Kommentartext">
    <w:name w:val="annotation text"/>
    <w:basedOn w:val="Standard"/>
    <w:link w:val="KommentartextZchn"/>
    <w:uiPriority w:val="99"/>
    <w:semiHidden/>
    <w:unhideWhenUsed/>
    <w:rsid w:val="008B5D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5DA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2394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6</cp:revision>
  <cp:lastPrinted>2022-02-19T09:00:00Z</cp:lastPrinted>
  <dcterms:created xsi:type="dcterms:W3CDTF">2022-07-19T16:23:00Z</dcterms:created>
  <dcterms:modified xsi:type="dcterms:W3CDTF">2022-11-22T15:49:00Z</dcterms:modified>
</cp:coreProperties>
</file>