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F47C" w14:textId="77777777" w:rsidR="00610520" w:rsidRDefault="00610520" w:rsidP="00610520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27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Beihilfe</w:t>
      </w:r>
    </w:p>
    <w:bookmarkEnd w:id="0"/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72EB6D2A" w:rsidR="00715314" w:rsidRDefault="00715314" w:rsidP="00715314">
      <w:pPr>
        <w:pStyle w:val="SchemaDefinitionenHeader"/>
      </w:pPr>
    </w:p>
    <w:p w14:paraId="280ADD47" w14:textId="6F793DC8" w:rsidR="00610520" w:rsidRPr="00610520" w:rsidRDefault="00000000" w:rsidP="00610520">
      <w:pPr>
        <w:pStyle w:val="SchemaDefinitionenHeader"/>
        <w:numPr>
          <w:ilvl w:val="0"/>
          <w:numId w:val="26"/>
        </w:numPr>
        <w:rPr>
          <w:b/>
          <w:bCs/>
          <w:color w:val="auto"/>
          <w:sz w:val="18"/>
          <w:szCs w:val="18"/>
        </w:rPr>
      </w:pPr>
      <w:hyperlink w:anchor="A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Strafbarkeit des Haupttäters</w:t>
        </w:r>
      </w:hyperlink>
    </w:p>
    <w:p w14:paraId="43D7BFF7" w14:textId="49BF57EB" w:rsidR="00610520" w:rsidRPr="00610520" w:rsidRDefault="00000000" w:rsidP="00610520">
      <w:pPr>
        <w:pStyle w:val="SchemaDefinitionenHeader"/>
        <w:numPr>
          <w:ilvl w:val="0"/>
          <w:numId w:val="26"/>
        </w:numPr>
        <w:rPr>
          <w:b/>
          <w:bCs/>
          <w:color w:val="auto"/>
          <w:sz w:val="18"/>
          <w:szCs w:val="18"/>
        </w:rPr>
      </w:pPr>
      <w:hyperlink w:anchor="B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Strafbarkeit des weiteren Beteiligten als Gehilfe</w:t>
        </w:r>
      </w:hyperlink>
    </w:p>
    <w:p w14:paraId="46EC3209" w14:textId="542E4861" w:rsidR="00610520" w:rsidRPr="00610520" w:rsidRDefault="00000000" w:rsidP="00610520">
      <w:pPr>
        <w:pStyle w:val="SchemaDefinitionenHeader"/>
        <w:numPr>
          <w:ilvl w:val="0"/>
          <w:numId w:val="1"/>
        </w:numPr>
        <w:rPr>
          <w:b/>
          <w:bCs/>
          <w:color w:val="auto"/>
          <w:sz w:val="18"/>
          <w:szCs w:val="18"/>
        </w:rPr>
      </w:pPr>
      <w:hyperlink w:anchor="Tatbestand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Tatbestand</w:t>
        </w:r>
      </w:hyperlink>
    </w:p>
    <w:p w14:paraId="6E484BCC" w14:textId="6E86D52A" w:rsidR="00610520" w:rsidRPr="00610520" w:rsidRDefault="00000000" w:rsidP="00610520">
      <w:pPr>
        <w:pStyle w:val="SchemaDefinitionenHeader"/>
        <w:numPr>
          <w:ilvl w:val="0"/>
          <w:numId w:val="2"/>
        </w:numPr>
        <w:rPr>
          <w:b/>
          <w:bCs/>
          <w:color w:val="auto"/>
          <w:sz w:val="18"/>
          <w:szCs w:val="18"/>
        </w:rPr>
      </w:pPr>
      <w:hyperlink w:anchor="Obj_TB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Objektiver Tatbestand</w:t>
        </w:r>
      </w:hyperlink>
    </w:p>
    <w:p w14:paraId="20F2D805" w14:textId="77777777" w:rsidR="00BB15AF" w:rsidRPr="00BB15AF" w:rsidRDefault="00000000" w:rsidP="00BB15AF">
      <w:pPr>
        <w:pStyle w:val="SchemaDefinitionenHeader"/>
        <w:numPr>
          <w:ilvl w:val="1"/>
          <w:numId w:val="2"/>
        </w:numPr>
        <w:rPr>
          <w:i/>
          <w:iCs/>
          <w:color w:val="auto"/>
          <w:sz w:val="18"/>
          <w:szCs w:val="18"/>
        </w:rPr>
      </w:pPr>
      <w:hyperlink w:anchor="Taugliche_Vortat" w:history="1">
        <w:r w:rsidR="00610520" w:rsidRPr="00BB15AF">
          <w:rPr>
            <w:color w:val="auto"/>
            <w:sz w:val="18"/>
            <w:szCs w:val="18"/>
          </w:rPr>
          <w:t>Taugliche Vortat</w:t>
        </w:r>
      </w:hyperlink>
    </w:p>
    <w:p w14:paraId="51DCAE5F" w14:textId="2521E8F5" w:rsidR="00610520" w:rsidRPr="00BB15AF" w:rsidRDefault="00000000" w:rsidP="00BB15AF">
      <w:pPr>
        <w:pStyle w:val="SchemaDefinitionenHeader"/>
        <w:numPr>
          <w:ilvl w:val="1"/>
          <w:numId w:val="2"/>
        </w:numPr>
        <w:rPr>
          <w:i/>
          <w:iCs/>
          <w:color w:val="auto"/>
          <w:sz w:val="18"/>
          <w:szCs w:val="18"/>
        </w:rPr>
      </w:pPr>
      <w:hyperlink w:anchor="Hilfe_leisten" w:history="1">
        <w:r w:rsidR="00610520" w:rsidRPr="00BB15AF">
          <w:rPr>
            <w:color w:val="auto"/>
            <w:sz w:val="18"/>
            <w:szCs w:val="18"/>
          </w:rPr>
          <w:t>Hilfe leisten</w:t>
        </w:r>
      </w:hyperlink>
    </w:p>
    <w:p w14:paraId="12BD65D0" w14:textId="630C97D9" w:rsidR="00610520" w:rsidRPr="00C0742B" w:rsidRDefault="00000000" w:rsidP="00BB15AF">
      <w:pPr>
        <w:pStyle w:val="SchemaDefinitionenHeader"/>
        <w:ind w:left="2508" w:firstLine="324"/>
        <w:rPr>
          <w:color w:val="auto"/>
          <w:sz w:val="18"/>
          <w:szCs w:val="18"/>
        </w:rPr>
      </w:pPr>
      <w:hyperlink w:anchor="Sukzessive_Beihilfe" w:history="1">
        <w:r w:rsidR="00610520" w:rsidRPr="004A28E0">
          <w:rPr>
            <w:rStyle w:val="Hyperlink"/>
            <w:b/>
            <w:bCs/>
            <w:color w:val="auto"/>
            <w:sz w:val="18"/>
            <w:szCs w:val="18"/>
            <w:u w:val="none"/>
          </w:rPr>
          <w:t>P:</w:t>
        </w:r>
        <w:r w:rsidR="00610520" w:rsidRPr="00C0742B">
          <w:rPr>
            <w:rStyle w:val="Hyperlink"/>
            <w:color w:val="auto"/>
            <w:sz w:val="18"/>
            <w:szCs w:val="18"/>
            <w:u w:val="none"/>
          </w:rPr>
          <w:t xml:space="preserve"> Sukzessive Beihilfe</w:t>
        </w:r>
      </w:hyperlink>
    </w:p>
    <w:p w14:paraId="2D214034" w14:textId="24316079" w:rsidR="00610520" w:rsidRPr="00610520" w:rsidRDefault="00000000" w:rsidP="00610520">
      <w:pPr>
        <w:pStyle w:val="SchemaDefinitionenHeader"/>
        <w:numPr>
          <w:ilvl w:val="0"/>
          <w:numId w:val="2"/>
        </w:numPr>
        <w:rPr>
          <w:b/>
          <w:bCs/>
          <w:color w:val="auto"/>
          <w:sz w:val="18"/>
          <w:szCs w:val="18"/>
        </w:rPr>
      </w:pPr>
      <w:hyperlink w:anchor="Subj_TB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Subjektiver Tatbestand</w:t>
        </w:r>
      </w:hyperlink>
    </w:p>
    <w:p w14:paraId="6FA8CF39" w14:textId="5BA24D3D" w:rsidR="00610520" w:rsidRPr="00BB15AF" w:rsidRDefault="00000000" w:rsidP="00F8431C">
      <w:pPr>
        <w:pStyle w:val="SchemaDefinitionenHeader"/>
        <w:numPr>
          <w:ilvl w:val="1"/>
          <w:numId w:val="2"/>
        </w:numPr>
        <w:rPr>
          <w:i/>
          <w:iCs/>
          <w:color w:val="auto"/>
          <w:sz w:val="18"/>
          <w:szCs w:val="18"/>
        </w:rPr>
      </w:pPr>
      <w:hyperlink w:anchor="Vorsatz_HT" w:history="1">
        <w:r w:rsidR="00610520" w:rsidRPr="00BB15AF">
          <w:rPr>
            <w:i/>
            <w:iCs/>
            <w:color w:val="auto"/>
            <w:sz w:val="18"/>
            <w:szCs w:val="18"/>
          </w:rPr>
          <w:t>Vorsatz bezogen auf die (Vollendung) der Haupttat</w:t>
        </w:r>
      </w:hyperlink>
    </w:p>
    <w:p w14:paraId="0978AEE6" w14:textId="5BD1AC77" w:rsidR="00610520" w:rsidRPr="00BB15AF" w:rsidRDefault="00000000" w:rsidP="00BB15AF">
      <w:pPr>
        <w:pStyle w:val="SchemaDefinitionenHeader"/>
        <w:numPr>
          <w:ilvl w:val="1"/>
          <w:numId w:val="2"/>
        </w:numPr>
        <w:rPr>
          <w:i/>
          <w:iCs/>
          <w:color w:val="auto"/>
          <w:sz w:val="18"/>
          <w:szCs w:val="18"/>
        </w:rPr>
      </w:pPr>
      <w:hyperlink w:anchor="Vorsatz_Hilfeleisten" w:history="1">
        <w:r w:rsidR="00610520" w:rsidRPr="00BB15AF">
          <w:rPr>
            <w:i/>
            <w:iCs/>
            <w:color w:val="auto"/>
            <w:sz w:val="18"/>
            <w:szCs w:val="18"/>
          </w:rPr>
          <w:t>Vorsatz bezogen auf das Hilfeleisten</w:t>
        </w:r>
      </w:hyperlink>
    </w:p>
    <w:p w14:paraId="587B228A" w14:textId="0A627943" w:rsidR="00610520" w:rsidRPr="00610520" w:rsidRDefault="00000000" w:rsidP="00610520">
      <w:pPr>
        <w:pStyle w:val="SchemaDefinitionenHeader"/>
        <w:numPr>
          <w:ilvl w:val="0"/>
          <w:numId w:val="2"/>
        </w:numPr>
        <w:rPr>
          <w:b/>
          <w:bCs/>
          <w:color w:val="auto"/>
          <w:sz w:val="18"/>
          <w:szCs w:val="18"/>
        </w:rPr>
      </w:pPr>
      <w:hyperlink w:anchor="uU_Tatbestandsverschiebung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Unter Umständen Tatbestandsverschiebung nach § 28 II StGB</w:t>
        </w:r>
      </w:hyperlink>
    </w:p>
    <w:p w14:paraId="06E8EA11" w14:textId="02CC771C" w:rsidR="00610520" w:rsidRPr="00610520" w:rsidRDefault="00000000" w:rsidP="00610520">
      <w:pPr>
        <w:pStyle w:val="SchemaDefinitionenHeader"/>
        <w:numPr>
          <w:ilvl w:val="0"/>
          <w:numId w:val="1"/>
        </w:numPr>
        <w:rPr>
          <w:b/>
          <w:bCs/>
          <w:color w:val="auto"/>
          <w:sz w:val="18"/>
          <w:szCs w:val="18"/>
        </w:rPr>
      </w:pPr>
      <w:hyperlink w:anchor="RW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Rechtswidrigkeit</w:t>
        </w:r>
      </w:hyperlink>
    </w:p>
    <w:p w14:paraId="3068512A" w14:textId="7DA80127" w:rsidR="00610520" w:rsidRPr="00610520" w:rsidRDefault="00000000" w:rsidP="00610520">
      <w:pPr>
        <w:pStyle w:val="SchemaDefinitionenHeader"/>
        <w:numPr>
          <w:ilvl w:val="0"/>
          <w:numId w:val="1"/>
        </w:numPr>
        <w:rPr>
          <w:b/>
          <w:bCs/>
          <w:color w:val="auto"/>
          <w:sz w:val="18"/>
          <w:szCs w:val="18"/>
        </w:rPr>
      </w:pPr>
      <w:hyperlink w:anchor="Schuld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Schuld</w:t>
        </w:r>
      </w:hyperlink>
    </w:p>
    <w:p w14:paraId="3D3CB991" w14:textId="005C120B" w:rsidR="00715314" w:rsidRPr="00610520" w:rsidRDefault="00000000" w:rsidP="00610520">
      <w:pPr>
        <w:pStyle w:val="SchemaDefinitionenHeader"/>
        <w:numPr>
          <w:ilvl w:val="0"/>
          <w:numId w:val="1"/>
        </w:numPr>
        <w:rPr>
          <w:b/>
          <w:bCs/>
          <w:color w:val="auto"/>
          <w:sz w:val="18"/>
          <w:szCs w:val="18"/>
        </w:rPr>
      </w:pPr>
      <w:hyperlink w:anchor="Strafzumessungsregeln" w:history="1">
        <w:r w:rsidR="00610520" w:rsidRPr="00610520">
          <w:rPr>
            <w:rStyle w:val="Hyperlink"/>
            <w:b/>
            <w:bCs/>
            <w:color w:val="auto"/>
            <w:sz w:val="18"/>
            <w:szCs w:val="18"/>
            <w:u w:val="none"/>
          </w:rPr>
          <w:t>Strafzumessungsregeln</w:t>
        </w:r>
      </w:hyperlink>
    </w:p>
    <w:p w14:paraId="40EF3CE0" w14:textId="77777777" w:rsidR="00715314" w:rsidRDefault="00715314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400F08C5" w14:textId="77777777" w:rsidR="00610520" w:rsidRDefault="00610520" w:rsidP="00610520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1" w:name="_Hlk85889832"/>
      <w:r w:rsidRPr="00932E04">
        <w:rPr>
          <w:rFonts w:ascii="Open Sans" w:hAnsi="Open Sans" w:cs="Open Sans"/>
          <w:b/>
          <w:bCs/>
          <w:sz w:val="36"/>
          <w:szCs w:val="36"/>
        </w:rPr>
        <w:lastRenderedPageBreak/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27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Beihilfe</w:t>
      </w:r>
    </w:p>
    <w:p w14:paraId="1BD04071" w14:textId="77777777" w:rsidR="00610520" w:rsidRDefault="00610520" w:rsidP="00610520">
      <w:pPr>
        <w:pStyle w:val="SchemaDefinitionenHeader"/>
      </w:pPr>
      <w:r w:rsidRPr="00A90E7F">
        <w:t>Schema</w:t>
      </w:r>
    </w:p>
    <w:p w14:paraId="1F44DE7C" w14:textId="77777777" w:rsidR="00610520" w:rsidRDefault="00610520" w:rsidP="00610520">
      <w:pPr>
        <w:pStyle w:val="SchemaDefinitionenHeader"/>
      </w:pPr>
    </w:p>
    <w:p w14:paraId="3017EDB3" w14:textId="77777777" w:rsidR="00610520" w:rsidRPr="00AC5767" w:rsidRDefault="00610520" w:rsidP="00610520">
      <w:pPr>
        <w:pStyle w:val="SchemaDefinitionenHeader"/>
        <w:numPr>
          <w:ilvl w:val="0"/>
          <w:numId w:val="27"/>
        </w:numPr>
        <w:rPr>
          <w:b/>
          <w:bCs/>
          <w:color w:val="auto"/>
        </w:rPr>
      </w:pPr>
      <w:bookmarkStart w:id="2" w:name="A"/>
      <w:r w:rsidRPr="00AC5767">
        <w:rPr>
          <w:b/>
          <w:bCs/>
          <w:color w:val="auto"/>
        </w:rPr>
        <w:t>Strafbarkeit des Haupttäters</w:t>
      </w:r>
    </w:p>
    <w:p w14:paraId="2106BDC7" w14:textId="77777777" w:rsidR="00610520" w:rsidRPr="00AC5767" w:rsidRDefault="00610520" w:rsidP="00610520">
      <w:pPr>
        <w:pStyle w:val="SchemaDefinitionenHeader"/>
        <w:numPr>
          <w:ilvl w:val="0"/>
          <w:numId w:val="27"/>
        </w:numPr>
        <w:rPr>
          <w:b/>
          <w:bCs/>
          <w:color w:val="auto"/>
        </w:rPr>
      </w:pPr>
      <w:bookmarkStart w:id="3" w:name="B"/>
      <w:bookmarkEnd w:id="2"/>
      <w:r w:rsidRPr="00AC5767">
        <w:rPr>
          <w:b/>
          <w:bCs/>
          <w:color w:val="auto"/>
        </w:rPr>
        <w:t xml:space="preserve">Strafbarkeit des weiteren Beteiligten als </w:t>
      </w:r>
      <w:r>
        <w:rPr>
          <w:b/>
          <w:bCs/>
          <w:color w:val="auto"/>
        </w:rPr>
        <w:t>Gehilfe</w:t>
      </w:r>
    </w:p>
    <w:p w14:paraId="1AAB354A" w14:textId="77777777" w:rsidR="00610520" w:rsidRPr="00522A4E" w:rsidRDefault="00610520" w:rsidP="00610520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bookmarkStart w:id="4" w:name="Tatbestand"/>
      <w:bookmarkEnd w:id="3"/>
      <w:r w:rsidRPr="00522A4E">
        <w:rPr>
          <w:b/>
          <w:bCs/>
          <w:color w:val="auto"/>
        </w:rPr>
        <w:t>Tatbestand</w:t>
      </w:r>
    </w:p>
    <w:p w14:paraId="352821FD" w14:textId="77777777" w:rsidR="00610520" w:rsidRPr="00EE5B5C" w:rsidRDefault="00610520" w:rsidP="00610520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5" w:name="Obj_TB"/>
      <w:bookmarkEnd w:id="4"/>
      <w:r w:rsidRPr="00522A4E">
        <w:rPr>
          <w:b/>
          <w:bCs/>
          <w:color w:val="auto"/>
        </w:rPr>
        <w:t>Objektiver Tatbestand</w:t>
      </w:r>
    </w:p>
    <w:p w14:paraId="5FACB309" w14:textId="77777777" w:rsidR="00610520" w:rsidRDefault="00610520" w:rsidP="00610520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6" w:name="Taugliche_Vortat"/>
      <w:bookmarkEnd w:id="5"/>
      <w:r>
        <w:rPr>
          <w:i/>
          <w:iCs/>
          <w:color w:val="auto"/>
        </w:rPr>
        <w:t>Taugliche Vortat</w:t>
      </w:r>
    </w:p>
    <w:bookmarkEnd w:id="6"/>
    <w:p w14:paraId="7F5D4F16" w14:textId="77777777" w:rsidR="00610520" w:rsidRDefault="00610520" w:rsidP="00610520">
      <w:pPr>
        <w:pStyle w:val="SchemaDefinitionenHeader"/>
        <w:ind w:left="2160"/>
        <w:rPr>
          <w:iCs/>
          <w:color w:val="auto"/>
        </w:rPr>
      </w:pPr>
      <w:r>
        <w:rPr>
          <w:iCs/>
          <w:color w:val="auto"/>
        </w:rPr>
        <w:t>Es muss eine (zumindest versuchte) vorsätzliche und rechtswidrige Haupttat vorliegen.</w:t>
      </w:r>
    </w:p>
    <w:p w14:paraId="39AFF1A2" w14:textId="77777777" w:rsidR="00610520" w:rsidRPr="00AC5767" w:rsidRDefault="00610520" w:rsidP="00610520">
      <w:pPr>
        <w:pStyle w:val="SchemaDefinitionenHeader"/>
        <w:ind w:left="2160"/>
        <w:rPr>
          <w:iCs/>
          <w:color w:val="auto"/>
        </w:rPr>
      </w:pPr>
      <w:r>
        <w:rPr>
          <w:iCs/>
          <w:color w:val="auto"/>
        </w:rPr>
        <w:t>Die Haupttat muss nicht schuldhaft begangen worden sein. Ein Rücktritt des Vordermannes ändert nichts an dem Vorsatz und der Rechtswidrigkeit der Haupttat.</w:t>
      </w:r>
    </w:p>
    <w:p w14:paraId="2DD5AA65" w14:textId="77777777" w:rsidR="00610520" w:rsidRPr="00D15FA7" w:rsidRDefault="00610520" w:rsidP="00610520">
      <w:pPr>
        <w:pStyle w:val="SchemaDefinitionenHeader"/>
        <w:ind w:left="1800"/>
        <w:rPr>
          <w:color w:val="auto"/>
        </w:rPr>
      </w:pPr>
    </w:p>
    <w:p w14:paraId="78F6B6A9" w14:textId="77777777" w:rsidR="00610520" w:rsidRPr="00522A4E" w:rsidRDefault="00610520" w:rsidP="00610520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7" w:name="Hilfe_leisten"/>
      <w:r>
        <w:rPr>
          <w:i/>
          <w:iCs/>
          <w:color w:val="auto"/>
        </w:rPr>
        <w:t>Hilfe leisten</w:t>
      </w:r>
    </w:p>
    <w:bookmarkEnd w:id="7"/>
    <w:p w14:paraId="2BCA66A9" w14:textId="77777777" w:rsidR="00610520" w:rsidRDefault="00610520" w:rsidP="00610520">
      <w:pPr>
        <w:pStyle w:val="SchemaDefinitionenHeader"/>
        <w:ind w:left="2160"/>
        <w:rPr>
          <w:color w:val="auto"/>
        </w:rPr>
      </w:pPr>
      <w:r>
        <w:rPr>
          <w:color w:val="auto"/>
        </w:rPr>
        <w:t>Hilfeleisten ist jedes Ermöglichen oder Erleichtern der Tat.</w:t>
      </w:r>
    </w:p>
    <w:p w14:paraId="0ED11F37" w14:textId="667AB18A" w:rsidR="00610520" w:rsidRDefault="00610520" w:rsidP="00610520">
      <w:pPr>
        <w:pStyle w:val="SchemaDefinitionenHeader"/>
        <w:ind w:left="2160"/>
        <w:rPr>
          <w:color w:val="auto"/>
        </w:rPr>
      </w:pPr>
      <w:r>
        <w:rPr>
          <w:color w:val="auto"/>
        </w:rPr>
        <w:t>Sie umfasst jedes aktive Tun oder pflichtwidriges Unterlassen in Garantenstellung und kann physische</w:t>
      </w:r>
      <w:r w:rsidR="00305D93">
        <w:rPr>
          <w:color w:val="auto"/>
        </w:rPr>
        <w:t>r</w:t>
      </w:r>
      <w:r>
        <w:rPr>
          <w:color w:val="auto"/>
        </w:rPr>
        <w:t xml:space="preserve"> oder psychische</w:t>
      </w:r>
      <w:r w:rsidR="00305D93">
        <w:rPr>
          <w:color w:val="auto"/>
        </w:rPr>
        <w:t>r</w:t>
      </w:r>
      <w:r>
        <w:rPr>
          <w:color w:val="auto"/>
        </w:rPr>
        <w:t xml:space="preserve"> </w:t>
      </w:r>
      <w:r w:rsidR="00305D93">
        <w:rPr>
          <w:color w:val="auto"/>
        </w:rPr>
        <w:t>Natur sein.</w:t>
      </w:r>
    </w:p>
    <w:p w14:paraId="07A72ED7" w14:textId="77777777" w:rsidR="00610520" w:rsidRDefault="00610520" w:rsidP="00610520">
      <w:pPr>
        <w:pStyle w:val="SchemaDefinitionenHeader"/>
        <w:ind w:left="2160"/>
        <w:rPr>
          <w:color w:val="auto"/>
        </w:rPr>
      </w:pPr>
    </w:p>
    <w:p w14:paraId="33BCA7E0" w14:textId="77777777" w:rsidR="00610520" w:rsidRDefault="00610520" w:rsidP="00610520">
      <w:pPr>
        <w:pStyle w:val="SchemaDefinitionenHeader"/>
        <w:ind w:left="2160" w:firstLine="324"/>
        <w:rPr>
          <w:color w:val="auto"/>
        </w:rPr>
      </w:pPr>
      <w:bookmarkStart w:id="8" w:name="Sukzessive_Beihilfe"/>
      <w:r w:rsidRPr="00522A4E">
        <w:rPr>
          <w:b/>
          <w:bCs/>
          <w:color w:val="auto"/>
        </w:rPr>
        <w:t>P:</w:t>
      </w:r>
      <w:r>
        <w:rPr>
          <w:color w:val="auto"/>
        </w:rPr>
        <w:t xml:space="preserve"> Sukzessive Beihilfe</w:t>
      </w:r>
    </w:p>
    <w:p w14:paraId="678117EF" w14:textId="77777777" w:rsidR="00610520" w:rsidRDefault="00610520" w:rsidP="00610520">
      <w:pPr>
        <w:pStyle w:val="SchemaDefinitionenHeader"/>
        <w:ind w:left="2484"/>
        <w:rPr>
          <w:color w:val="auto"/>
        </w:rPr>
      </w:pPr>
      <w:bookmarkStart w:id="9" w:name="_Hlk109149143"/>
      <w:bookmarkEnd w:id="8"/>
      <w:r>
        <w:rPr>
          <w:color w:val="auto"/>
        </w:rPr>
        <w:t xml:space="preserve">Ein Fall der sukzessiven Beihilfe liegt dann vor, wenn der Gehilfe erst nach Vollendung, aber noch vor Beendigung der Haupttat tätig wird. </w:t>
      </w:r>
    </w:p>
    <w:p w14:paraId="750D9647" w14:textId="77777777" w:rsidR="00F23785" w:rsidRDefault="00610520" w:rsidP="00610520">
      <w:pPr>
        <w:pStyle w:val="SchemaDefinitionenHeader"/>
        <w:ind w:left="2484"/>
        <w:rPr>
          <w:color w:val="auto"/>
        </w:rPr>
      </w:pPr>
      <w:r>
        <w:rPr>
          <w:color w:val="auto"/>
        </w:rPr>
        <w:t>In solchen Fallkonstellationen wird es häufig zu Überschneidungen mit § 257 StGB</w:t>
      </w:r>
      <w:r w:rsidR="00305D93">
        <w:rPr>
          <w:color w:val="auto"/>
        </w:rPr>
        <w:t xml:space="preserve"> (Begünstigung)</w:t>
      </w:r>
      <w:r>
        <w:rPr>
          <w:color w:val="auto"/>
        </w:rPr>
        <w:t xml:space="preserve"> kommen. Fest steht, dass für Fälle </w:t>
      </w:r>
      <w:r w:rsidRPr="005950F6">
        <w:rPr>
          <w:i/>
          <w:iCs/>
          <w:color w:val="auto"/>
        </w:rPr>
        <w:t>vor der Vollendung</w:t>
      </w:r>
      <w:r>
        <w:rPr>
          <w:color w:val="auto"/>
        </w:rPr>
        <w:t xml:space="preserve"> allein Beihilfe in Betracht kommt und </w:t>
      </w:r>
      <w:r w:rsidRPr="005950F6">
        <w:rPr>
          <w:i/>
          <w:iCs/>
          <w:color w:val="auto"/>
        </w:rPr>
        <w:t>nach der Beendigung</w:t>
      </w:r>
      <w:r>
        <w:rPr>
          <w:color w:val="auto"/>
        </w:rPr>
        <w:t xml:space="preserve"> nur § 257 StGB. Der Zeitraum zwischen Vollendung und Beendigung ist dabei strittig. </w:t>
      </w:r>
    </w:p>
    <w:p w14:paraId="75F21C8A" w14:textId="76E04948" w:rsidR="00610520" w:rsidRPr="00AC5767" w:rsidRDefault="005950F6" w:rsidP="0069171F">
      <w:pPr>
        <w:pStyle w:val="SchemaDefinitionenHeader"/>
        <w:ind w:left="2484"/>
        <w:rPr>
          <w:color w:val="auto"/>
        </w:rPr>
      </w:pPr>
      <w:r>
        <w:rPr>
          <w:color w:val="auto"/>
        </w:rPr>
        <w:t xml:space="preserve">Dabei gilt: </w:t>
      </w:r>
      <w:r w:rsidR="00610520">
        <w:rPr>
          <w:color w:val="auto"/>
        </w:rPr>
        <w:t>Unterstützung</w:t>
      </w:r>
      <w:r>
        <w:rPr>
          <w:color w:val="auto"/>
        </w:rPr>
        <w:t>shandlungen</w:t>
      </w:r>
      <w:r w:rsidR="00610520">
        <w:rPr>
          <w:color w:val="auto"/>
        </w:rPr>
        <w:t>, welche die Vortat erfolgreich beenden oder die Beendigung zumindest fördern soll</w:t>
      </w:r>
      <w:r>
        <w:rPr>
          <w:color w:val="auto"/>
        </w:rPr>
        <w:t>en</w:t>
      </w:r>
      <w:r w:rsidR="00610520">
        <w:rPr>
          <w:color w:val="auto"/>
        </w:rPr>
        <w:t xml:space="preserve"> und somit der Vortat zugutekomm</w:t>
      </w:r>
      <w:r>
        <w:rPr>
          <w:color w:val="auto"/>
        </w:rPr>
        <w:t>en</w:t>
      </w:r>
      <w:r w:rsidR="00610520">
        <w:rPr>
          <w:color w:val="auto"/>
        </w:rPr>
        <w:t xml:space="preserve">, </w:t>
      </w:r>
      <w:r>
        <w:rPr>
          <w:color w:val="auto"/>
        </w:rPr>
        <w:t>sind</w:t>
      </w:r>
      <w:r w:rsidR="00610520">
        <w:rPr>
          <w:color w:val="auto"/>
        </w:rPr>
        <w:t xml:space="preserve"> unter Beachtung</w:t>
      </w:r>
      <w:r w:rsidR="00F23785">
        <w:rPr>
          <w:color w:val="auto"/>
        </w:rPr>
        <w:t xml:space="preserve"> </w:t>
      </w:r>
      <w:r w:rsidR="00610520">
        <w:rPr>
          <w:color w:val="auto"/>
        </w:rPr>
        <w:t>des</w:t>
      </w:r>
      <w:r w:rsidR="00F23785">
        <w:rPr>
          <w:color w:val="auto"/>
        </w:rPr>
        <w:t xml:space="preserve"> </w:t>
      </w:r>
      <w:r w:rsidR="00610520">
        <w:rPr>
          <w:color w:val="auto"/>
        </w:rPr>
        <w:t xml:space="preserve">§ 257 III StGB als </w:t>
      </w:r>
      <w:r w:rsidR="00610520" w:rsidRPr="0069171F">
        <w:rPr>
          <w:i/>
          <w:iCs/>
          <w:color w:val="000000" w:themeColor="text1"/>
        </w:rPr>
        <w:t>Beihilfe zur Haupttat</w:t>
      </w:r>
      <w:r w:rsidR="00610520" w:rsidRPr="0069171F">
        <w:rPr>
          <w:color w:val="000000" w:themeColor="text1"/>
        </w:rPr>
        <w:t xml:space="preserve"> zu sehen.</w:t>
      </w:r>
      <w:r w:rsidR="00F23785" w:rsidRPr="0069171F">
        <w:rPr>
          <w:color w:val="000000" w:themeColor="text1"/>
        </w:rPr>
        <w:t xml:space="preserve"> Nach § 257 III StGB wird wegen Begünstigung nämlich nicht bestraft, wer wegen </w:t>
      </w:r>
      <w:r w:rsidR="00F23785" w:rsidRPr="0069171F">
        <w:rPr>
          <w:i/>
          <w:iCs/>
          <w:color w:val="000000" w:themeColor="text1"/>
        </w:rPr>
        <w:t>Beteiligung an der Haupttat</w:t>
      </w:r>
      <w:r w:rsidR="00F23785" w:rsidRPr="0069171F">
        <w:rPr>
          <w:color w:val="000000" w:themeColor="text1"/>
        </w:rPr>
        <w:t xml:space="preserve"> bestraft wird.</w:t>
      </w:r>
      <w:bookmarkEnd w:id="9"/>
    </w:p>
    <w:p w14:paraId="643DD756" w14:textId="77777777" w:rsidR="00610520" w:rsidRPr="008E352C" w:rsidRDefault="00610520" w:rsidP="00610520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0" w:name="Subj_TB"/>
      <w:r w:rsidRPr="008E352C">
        <w:rPr>
          <w:b/>
          <w:bCs/>
          <w:color w:val="auto"/>
        </w:rPr>
        <w:lastRenderedPageBreak/>
        <w:t>Subjektiver Tatbestand</w:t>
      </w:r>
    </w:p>
    <w:p w14:paraId="337AEC2A" w14:textId="77777777" w:rsidR="00610520" w:rsidRDefault="00610520" w:rsidP="00610520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11" w:name="Vorsatz_HT"/>
      <w:bookmarkEnd w:id="10"/>
      <w:r>
        <w:rPr>
          <w:i/>
          <w:iCs/>
          <w:color w:val="auto"/>
        </w:rPr>
        <w:t>Vorsatz bezogen auf die (Vollendung) der Haupttat</w:t>
      </w:r>
    </w:p>
    <w:bookmarkEnd w:id="11"/>
    <w:p w14:paraId="0DC2CCA5" w14:textId="749B74C8" w:rsidR="00610520" w:rsidRPr="00A50206" w:rsidRDefault="00610520" w:rsidP="00610520">
      <w:pPr>
        <w:pStyle w:val="SchemaDefinitionenHeader"/>
        <w:ind w:left="2160"/>
        <w:rPr>
          <w:i/>
          <w:iCs/>
          <w:color w:val="auto"/>
        </w:rPr>
      </w:pPr>
      <w:r w:rsidRPr="00A50206">
        <w:rPr>
          <w:iCs/>
          <w:color w:val="auto"/>
        </w:rPr>
        <w:t xml:space="preserve">Der </w:t>
      </w:r>
      <w:r>
        <w:rPr>
          <w:iCs/>
          <w:color w:val="auto"/>
        </w:rPr>
        <w:t>Gehilfe</w:t>
      </w:r>
      <w:r w:rsidRPr="00A50206">
        <w:rPr>
          <w:iCs/>
          <w:color w:val="auto"/>
        </w:rPr>
        <w:t xml:space="preserve"> muss Vorsatz zumindest bezogen auf die Grundzüge</w:t>
      </w:r>
      <w:r>
        <w:rPr>
          <w:iCs/>
          <w:color w:val="auto"/>
        </w:rPr>
        <w:t xml:space="preserve"> der Tat</w:t>
      </w:r>
      <w:r w:rsidRPr="00A50206">
        <w:rPr>
          <w:iCs/>
          <w:color w:val="auto"/>
        </w:rPr>
        <w:t xml:space="preserve">, die wesentlichen Merkmale </w:t>
      </w:r>
      <w:r>
        <w:rPr>
          <w:iCs/>
          <w:color w:val="auto"/>
        </w:rPr>
        <w:t xml:space="preserve">der Tat </w:t>
      </w:r>
      <w:r w:rsidRPr="00A50206">
        <w:rPr>
          <w:iCs/>
          <w:color w:val="auto"/>
        </w:rPr>
        <w:t>und auf mögliche Täter haben. De</w:t>
      </w:r>
      <w:r>
        <w:rPr>
          <w:iCs/>
          <w:color w:val="auto"/>
        </w:rPr>
        <w:t xml:space="preserve">n </w:t>
      </w:r>
      <w:r w:rsidRPr="00A50206">
        <w:rPr>
          <w:iCs/>
          <w:color w:val="auto"/>
        </w:rPr>
        <w:t xml:space="preserve">Kausalverlauf muss er in seinen wesentlichen Zügen </w:t>
      </w:r>
      <w:r w:rsidR="005950F6">
        <w:rPr>
          <w:iCs/>
          <w:color w:val="auto"/>
        </w:rPr>
        <w:t>erfassen.</w:t>
      </w:r>
    </w:p>
    <w:p w14:paraId="05319110" w14:textId="77777777" w:rsidR="00610520" w:rsidRPr="008975C9" w:rsidRDefault="00610520" w:rsidP="00610520">
      <w:pPr>
        <w:pStyle w:val="SchemaDefinitionenHeader"/>
        <w:ind w:left="2160"/>
        <w:rPr>
          <w:color w:val="auto"/>
        </w:rPr>
      </w:pPr>
    </w:p>
    <w:p w14:paraId="5996D25A" w14:textId="77777777" w:rsidR="00610520" w:rsidRDefault="00610520" w:rsidP="00610520">
      <w:pPr>
        <w:pStyle w:val="SchemaDefinitionenHeader"/>
        <w:numPr>
          <w:ilvl w:val="1"/>
          <w:numId w:val="29"/>
        </w:numPr>
        <w:rPr>
          <w:i/>
          <w:iCs/>
          <w:color w:val="auto"/>
        </w:rPr>
      </w:pPr>
      <w:bookmarkStart w:id="12" w:name="Vorsatz_Hilfeleisten"/>
      <w:r>
        <w:rPr>
          <w:i/>
          <w:iCs/>
          <w:color w:val="auto"/>
        </w:rPr>
        <w:t>Vorsatz bezogen auf das Hilfeleisten</w:t>
      </w:r>
    </w:p>
    <w:bookmarkEnd w:id="12"/>
    <w:p w14:paraId="0A10A1BD" w14:textId="77777777" w:rsidR="00610520" w:rsidRDefault="00610520" w:rsidP="00610520">
      <w:pPr>
        <w:pStyle w:val="SchemaDefinitionenHeader"/>
        <w:ind w:left="2160"/>
        <w:rPr>
          <w:i/>
          <w:iCs/>
          <w:color w:val="auto"/>
        </w:rPr>
      </w:pPr>
    </w:p>
    <w:p w14:paraId="3B19775F" w14:textId="77777777" w:rsidR="00610520" w:rsidRPr="00AA246D" w:rsidRDefault="00610520" w:rsidP="00610520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3" w:name="uU_Tatbestandsverschiebung"/>
      <w:r>
        <w:rPr>
          <w:b/>
          <w:bCs/>
          <w:color w:val="auto"/>
        </w:rPr>
        <w:t>Unter Umständen Tatbestandsverschiebung nach § 28 II StGB</w:t>
      </w:r>
    </w:p>
    <w:bookmarkEnd w:id="13"/>
    <w:p w14:paraId="5B055BB1" w14:textId="77777777" w:rsidR="00610520" w:rsidRPr="00EE4A30" w:rsidRDefault="00610520" w:rsidP="00610520">
      <w:pPr>
        <w:pStyle w:val="SchemaDefinitionenHeader"/>
        <w:ind w:left="1440"/>
        <w:rPr>
          <w:b/>
          <w:bCs/>
          <w:color w:val="auto"/>
        </w:rPr>
      </w:pPr>
    </w:p>
    <w:p w14:paraId="779B6984" w14:textId="77777777" w:rsidR="00610520" w:rsidRPr="00522A4E" w:rsidRDefault="00610520" w:rsidP="00610520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bookmarkStart w:id="14" w:name="RW"/>
      <w:r w:rsidRPr="00522A4E">
        <w:rPr>
          <w:b/>
          <w:bCs/>
          <w:color w:val="auto"/>
        </w:rPr>
        <w:t>Rechtswidrigkeit</w:t>
      </w:r>
    </w:p>
    <w:p w14:paraId="202BF374" w14:textId="77777777" w:rsidR="00610520" w:rsidRPr="00522A4E" w:rsidRDefault="00610520" w:rsidP="00610520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bookmarkStart w:id="15" w:name="Schuld"/>
      <w:bookmarkEnd w:id="14"/>
      <w:r w:rsidRPr="00522A4E">
        <w:rPr>
          <w:b/>
          <w:bCs/>
          <w:color w:val="auto"/>
        </w:rPr>
        <w:t>Schuld</w:t>
      </w:r>
    </w:p>
    <w:p w14:paraId="51275E6A" w14:textId="77777777" w:rsidR="00610520" w:rsidRDefault="00610520" w:rsidP="00610520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bookmarkStart w:id="16" w:name="Strafzumessungsregeln"/>
      <w:bookmarkEnd w:id="15"/>
      <w:r w:rsidRPr="00522A4E">
        <w:rPr>
          <w:b/>
          <w:bCs/>
          <w:color w:val="auto"/>
        </w:rPr>
        <w:t>Strafzumessungsregeln</w:t>
      </w:r>
    </w:p>
    <w:bookmarkEnd w:id="16"/>
    <w:p w14:paraId="6E5DE7F7" w14:textId="3A5469C5" w:rsidR="00610520" w:rsidRDefault="00610520" w:rsidP="00610520">
      <w:pPr>
        <w:pStyle w:val="SchemaDefinitionenHeader"/>
        <w:ind w:left="1080"/>
        <w:rPr>
          <w:color w:val="auto"/>
        </w:rPr>
      </w:pPr>
      <w:r>
        <w:rPr>
          <w:color w:val="auto"/>
        </w:rPr>
        <w:t>Laut Gesetz richtet sich die Strafandrohung des Gehilfe</w:t>
      </w:r>
      <w:r w:rsidR="005950F6">
        <w:rPr>
          <w:color w:val="auto"/>
        </w:rPr>
        <w:t>n</w:t>
      </w:r>
      <w:r>
        <w:rPr>
          <w:color w:val="auto"/>
        </w:rPr>
        <w:t xml:space="preserve"> nach derjenigen des Täters.</w:t>
      </w:r>
    </w:p>
    <w:p w14:paraId="2398D84E" w14:textId="76BDDACF" w:rsidR="00610520" w:rsidRPr="001B1B4E" w:rsidRDefault="005950F6" w:rsidP="00610520">
      <w:pPr>
        <w:pStyle w:val="SchemaDefinitionenHeader"/>
        <w:ind w:left="1080"/>
        <w:rPr>
          <w:color w:val="auto"/>
        </w:rPr>
      </w:pPr>
      <w:r>
        <w:rPr>
          <w:color w:val="auto"/>
        </w:rPr>
        <w:t xml:space="preserve">Es besteht die </w:t>
      </w:r>
      <w:r w:rsidR="00610520" w:rsidRPr="00EE4A30">
        <w:rPr>
          <w:color w:val="auto"/>
        </w:rPr>
        <w:t>Möglichkeit einer Strafmilderung nach § 28 I StGB</w:t>
      </w:r>
      <w:r w:rsidR="00610520">
        <w:rPr>
          <w:color w:val="auto"/>
        </w:rPr>
        <w:t>, sollten strafbegründende, besondere persönliche Merkmale fehlen.</w:t>
      </w:r>
      <w:bookmarkEnd w:id="1"/>
    </w:p>
    <w:p w14:paraId="5378D6A5" w14:textId="268FF022" w:rsidR="00295E1E" w:rsidRDefault="00295E1E" w:rsidP="00610520">
      <w:pPr>
        <w:jc w:val="both"/>
        <w:rPr>
          <w:rFonts w:ascii="Open Sans" w:hAnsi="Open Sans" w:cs="Open Sans"/>
        </w:rPr>
      </w:pPr>
    </w:p>
    <w:p w14:paraId="7AFC21D0" w14:textId="35AA241F" w:rsidR="00561F82" w:rsidRDefault="00561F82" w:rsidP="00610520">
      <w:pPr>
        <w:jc w:val="both"/>
        <w:rPr>
          <w:rFonts w:ascii="Open Sans" w:hAnsi="Open Sans" w:cs="Open Sans"/>
        </w:rPr>
      </w:pPr>
    </w:p>
    <w:p w14:paraId="21B87D6B" w14:textId="77777777" w:rsidR="00561F82" w:rsidRDefault="00561F82" w:rsidP="00561F82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Quellen: </w:t>
      </w:r>
    </w:p>
    <w:p w14:paraId="3DB024BF" w14:textId="54BB88BD" w:rsidR="00561F82" w:rsidRDefault="00561F82" w:rsidP="00561F82">
      <w:pPr>
        <w:pStyle w:val="SchemaDefinitionenHeader"/>
        <w:rPr>
          <w:color w:val="auto"/>
        </w:rPr>
      </w:pPr>
      <w:r w:rsidRPr="00C62EB9">
        <w:rPr>
          <w:bCs/>
          <w:i/>
          <w:iCs/>
          <w:color w:val="auto"/>
        </w:rPr>
        <w:t>Heine</w:t>
      </w:r>
      <w:r>
        <w:rPr>
          <w:bCs/>
          <w:color w:val="auto"/>
        </w:rPr>
        <w:t xml:space="preserve"> und </w:t>
      </w:r>
      <w:r w:rsidRPr="00C62EB9">
        <w:rPr>
          <w:bCs/>
          <w:i/>
          <w:iCs/>
          <w:color w:val="auto"/>
        </w:rPr>
        <w:t>Weißer</w:t>
      </w:r>
      <w:r>
        <w:rPr>
          <w:bCs/>
          <w:color w:val="auto"/>
        </w:rPr>
        <w:t xml:space="preserve"> in: </w:t>
      </w:r>
      <w:r w:rsidRPr="00C62EB9">
        <w:rPr>
          <w:bCs/>
          <w:color w:val="auto"/>
        </w:rPr>
        <w:t>Schönke/Schröder, 30. Aufl. 2019, StGB § 27 Rn. 14</w:t>
      </w:r>
      <w:r>
        <w:rPr>
          <w:bCs/>
          <w:color w:val="auto"/>
        </w:rPr>
        <w:t xml:space="preserve"> f., 20 ff.</w:t>
      </w:r>
    </w:p>
    <w:p w14:paraId="5B3880F7" w14:textId="77777777" w:rsidR="00561F82" w:rsidRPr="00D01277" w:rsidRDefault="00561F82" w:rsidP="00610520">
      <w:pPr>
        <w:jc w:val="both"/>
        <w:rPr>
          <w:rFonts w:ascii="Open Sans" w:hAnsi="Open Sans" w:cs="Open Sans"/>
        </w:rPr>
      </w:pPr>
    </w:p>
    <w:sectPr w:rsidR="00561F82" w:rsidRPr="00D0127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CF24" w14:textId="77777777" w:rsidR="00FA6B7D" w:rsidRDefault="00FA6B7D" w:rsidP="0041069B">
      <w:pPr>
        <w:spacing w:after="0" w:line="240" w:lineRule="auto"/>
      </w:pPr>
      <w:r>
        <w:separator/>
      </w:r>
    </w:p>
  </w:endnote>
  <w:endnote w:type="continuationSeparator" w:id="0">
    <w:p w14:paraId="136A5105" w14:textId="77777777" w:rsidR="00FA6B7D" w:rsidRDefault="00FA6B7D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17" w:name="_Hlk64808829"/>
        <w:bookmarkStart w:id="18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6FDA808E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17"/>
    <w:bookmarkEnd w:id="18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1527" w14:textId="77777777" w:rsidR="00FA6B7D" w:rsidRDefault="00FA6B7D" w:rsidP="0041069B">
      <w:pPr>
        <w:spacing w:after="0" w:line="240" w:lineRule="auto"/>
      </w:pPr>
      <w:r>
        <w:separator/>
      </w:r>
    </w:p>
  </w:footnote>
  <w:footnote w:type="continuationSeparator" w:id="0">
    <w:p w14:paraId="4FBBAE1E" w14:textId="77777777" w:rsidR="00FA6B7D" w:rsidRDefault="00FA6B7D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6604E2A"/>
    <w:multiLevelType w:val="hybridMultilevel"/>
    <w:tmpl w:val="D4263C38"/>
    <w:lvl w:ilvl="0" w:tplc="3126F6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DBE3A78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33FEC"/>
    <w:multiLevelType w:val="hybridMultilevel"/>
    <w:tmpl w:val="8D14AECC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7D6045E">
      <w:start w:val="1"/>
      <w:numFmt w:val="lowerLetter"/>
      <w:lvlText w:val="%2."/>
      <w:lvlJc w:val="left"/>
      <w:pPr>
        <w:ind w:left="2160" w:hanging="360"/>
      </w:pPr>
      <w:rPr>
        <w:rFonts w:ascii="Open Sans" w:eastAsiaTheme="minorHAnsi" w:hAnsi="Open Sans" w:cs="Open Sans"/>
      </w:rPr>
    </w:lvl>
    <w:lvl w:ilvl="2" w:tplc="5290F8AA">
      <w:start w:val="1"/>
      <w:numFmt w:val="lowerLetter"/>
      <w:lvlText w:val="%3."/>
      <w:lvlJc w:val="right"/>
      <w:pPr>
        <w:ind w:left="2880" w:hanging="180"/>
      </w:pPr>
      <w:rPr>
        <w:rFonts w:ascii="Open Sans" w:eastAsiaTheme="minorHAnsi" w:hAnsi="Open Sans" w:cs="Open Sans"/>
      </w:r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2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CDF7D71"/>
    <w:multiLevelType w:val="hybridMultilevel"/>
    <w:tmpl w:val="D4263C38"/>
    <w:lvl w:ilvl="0" w:tplc="3126F6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7" w15:restartNumberingAfterBreak="0">
    <w:nsid w:val="56B06FB4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9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2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7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8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831217812">
    <w:abstractNumId w:val="23"/>
  </w:num>
  <w:num w:numId="2" w16cid:durableId="268586887">
    <w:abstractNumId w:val="6"/>
  </w:num>
  <w:num w:numId="3" w16cid:durableId="1442145331">
    <w:abstractNumId w:val="8"/>
  </w:num>
  <w:num w:numId="4" w16cid:durableId="1227687506">
    <w:abstractNumId w:val="25"/>
  </w:num>
  <w:num w:numId="5" w16cid:durableId="996228203">
    <w:abstractNumId w:val="28"/>
  </w:num>
  <w:num w:numId="6" w16cid:durableId="1310742892">
    <w:abstractNumId w:val="16"/>
  </w:num>
  <w:num w:numId="7" w16cid:durableId="1991593343">
    <w:abstractNumId w:val="12"/>
  </w:num>
  <w:num w:numId="8" w16cid:durableId="1837915715">
    <w:abstractNumId w:val="20"/>
  </w:num>
  <w:num w:numId="9" w16cid:durableId="1109815642">
    <w:abstractNumId w:val="24"/>
  </w:num>
  <w:num w:numId="10" w16cid:durableId="586965786">
    <w:abstractNumId w:val="14"/>
  </w:num>
  <w:num w:numId="11" w16cid:durableId="931476448">
    <w:abstractNumId w:val="27"/>
  </w:num>
  <w:num w:numId="12" w16cid:durableId="1567110641">
    <w:abstractNumId w:val="15"/>
  </w:num>
  <w:num w:numId="13" w16cid:durableId="1914388017">
    <w:abstractNumId w:val="26"/>
  </w:num>
  <w:num w:numId="14" w16cid:durableId="399522592">
    <w:abstractNumId w:val="21"/>
  </w:num>
  <w:num w:numId="15" w16cid:durableId="389578051">
    <w:abstractNumId w:val="11"/>
  </w:num>
  <w:num w:numId="16" w16cid:durableId="1870294800">
    <w:abstractNumId w:val="0"/>
  </w:num>
  <w:num w:numId="17" w16cid:durableId="780684235">
    <w:abstractNumId w:val="18"/>
  </w:num>
  <w:num w:numId="18" w16cid:durableId="1462840050">
    <w:abstractNumId w:val="3"/>
  </w:num>
  <w:num w:numId="19" w16cid:durableId="577137184">
    <w:abstractNumId w:val="19"/>
  </w:num>
  <w:num w:numId="20" w16cid:durableId="2112242468">
    <w:abstractNumId w:val="4"/>
  </w:num>
  <w:num w:numId="21" w16cid:durableId="854686609">
    <w:abstractNumId w:val="10"/>
  </w:num>
  <w:num w:numId="22" w16cid:durableId="1955937865">
    <w:abstractNumId w:val="2"/>
  </w:num>
  <w:num w:numId="23" w16cid:durableId="1612280874">
    <w:abstractNumId w:val="9"/>
  </w:num>
  <w:num w:numId="24" w16cid:durableId="1539199300">
    <w:abstractNumId w:val="22"/>
  </w:num>
  <w:num w:numId="25" w16cid:durableId="1296910274">
    <w:abstractNumId w:val="7"/>
  </w:num>
  <w:num w:numId="26" w16cid:durableId="608396999">
    <w:abstractNumId w:val="1"/>
  </w:num>
  <w:num w:numId="27" w16cid:durableId="1877502020">
    <w:abstractNumId w:val="13"/>
  </w:num>
  <w:num w:numId="28" w16cid:durableId="1221864365">
    <w:abstractNumId w:val="5"/>
  </w:num>
  <w:num w:numId="29" w16cid:durableId="18549971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84F2C"/>
    <w:rsid w:val="0010748A"/>
    <w:rsid w:val="00140409"/>
    <w:rsid w:val="0017497A"/>
    <w:rsid w:val="00185932"/>
    <w:rsid w:val="00192777"/>
    <w:rsid w:val="002230EF"/>
    <w:rsid w:val="002577DC"/>
    <w:rsid w:val="00257A0B"/>
    <w:rsid w:val="00295E1E"/>
    <w:rsid w:val="00305D93"/>
    <w:rsid w:val="00397A7D"/>
    <w:rsid w:val="003D5108"/>
    <w:rsid w:val="0041069B"/>
    <w:rsid w:val="00415653"/>
    <w:rsid w:val="00445655"/>
    <w:rsid w:val="00446D1C"/>
    <w:rsid w:val="00473757"/>
    <w:rsid w:val="004A28E0"/>
    <w:rsid w:val="004A7925"/>
    <w:rsid w:val="004F059B"/>
    <w:rsid w:val="00511048"/>
    <w:rsid w:val="00517716"/>
    <w:rsid w:val="00522A4E"/>
    <w:rsid w:val="00561F82"/>
    <w:rsid w:val="00574C17"/>
    <w:rsid w:val="005950F6"/>
    <w:rsid w:val="005A556D"/>
    <w:rsid w:val="005E2DC1"/>
    <w:rsid w:val="005F5217"/>
    <w:rsid w:val="005F668B"/>
    <w:rsid w:val="00610520"/>
    <w:rsid w:val="006178E1"/>
    <w:rsid w:val="006242E8"/>
    <w:rsid w:val="00685E8F"/>
    <w:rsid w:val="0069171F"/>
    <w:rsid w:val="00693D80"/>
    <w:rsid w:val="006B7D18"/>
    <w:rsid w:val="006D77EF"/>
    <w:rsid w:val="006E1970"/>
    <w:rsid w:val="006E34BE"/>
    <w:rsid w:val="00715314"/>
    <w:rsid w:val="00722F4A"/>
    <w:rsid w:val="00744F0C"/>
    <w:rsid w:val="00756EF3"/>
    <w:rsid w:val="00763B80"/>
    <w:rsid w:val="0077736A"/>
    <w:rsid w:val="007C4C5F"/>
    <w:rsid w:val="007D1C6B"/>
    <w:rsid w:val="007D788D"/>
    <w:rsid w:val="007E59C7"/>
    <w:rsid w:val="007F54BD"/>
    <w:rsid w:val="00855AD9"/>
    <w:rsid w:val="00856EB0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A07F0F"/>
    <w:rsid w:val="00A60D0D"/>
    <w:rsid w:val="00A6156E"/>
    <w:rsid w:val="00A84793"/>
    <w:rsid w:val="00B20871"/>
    <w:rsid w:val="00B24515"/>
    <w:rsid w:val="00B319F6"/>
    <w:rsid w:val="00B65D0D"/>
    <w:rsid w:val="00B7208C"/>
    <w:rsid w:val="00BB15AF"/>
    <w:rsid w:val="00BB2365"/>
    <w:rsid w:val="00BE13DA"/>
    <w:rsid w:val="00C0742B"/>
    <w:rsid w:val="00C2164B"/>
    <w:rsid w:val="00C35596"/>
    <w:rsid w:val="00C83678"/>
    <w:rsid w:val="00CF47F5"/>
    <w:rsid w:val="00D01277"/>
    <w:rsid w:val="00D15FA7"/>
    <w:rsid w:val="00D7007F"/>
    <w:rsid w:val="00D7592C"/>
    <w:rsid w:val="00D76651"/>
    <w:rsid w:val="00DA2E31"/>
    <w:rsid w:val="00DD34DC"/>
    <w:rsid w:val="00DE7393"/>
    <w:rsid w:val="00E00DCA"/>
    <w:rsid w:val="00E31E5E"/>
    <w:rsid w:val="00E34AEC"/>
    <w:rsid w:val="00E471C9"/>
    <w:rsid w:val="00E715C3"/>
    <w:rsid w:val="00E950D0"/>
    <w:rsid w:val="00EA4BF1"/>
    <w:rsid w:val="00EE5B5C"/>
    <w:rsid w:val="00EF11AF"/>
    <w:rsid w:val="00F221A1"/>
    <w:rsid w:val="00F23785"/>
    <w:rsid w:val="00F2572E"/>
    <w:rsid w:val="00F41C05"/>
    <w:rsid w:val="00F71E3A"/>
    <w:rsid w:val="00F8431C"/>
    <w:rsid w:val="00F90F16"/>
    <w:rsid w:val="00FA6B7D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04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404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04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04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04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5</cp:revision>
  <cp:lastPrinted>2022-02-16T20:14:00Z</cp:lastPrinted>
  <dcterms:created xsi:type="dcterms:W3CDTF">2022-06-05T09:24:00Z</dcterms:created>
  <dcterms:modified xsi:type="dcterms:W3CDTF">2022-09-07T12:19:00Z</dcterms:modified>
</cp:coreProperties>
</file>