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7AD7" w14:textId="77777777" w:rsidR="00C24865" w:rsidRDefault="00C24865" w:rsidP="00C24865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header"/>
      <w:r>
        <w:rPr>
          <w:rFonts w:ascii="Open Sans" w:hAnsi="Open Sans" w:cs="Open Sans"/>
          <w:b/>
          <w:bCs/>
          <w:sz w:val="36"/>
          <w:szCs w:val="36"/>
        </w:rPr>
        <w:t>§ 30 StGB – Versuch der Beteiligten</w:t>
      </w:r>
    </w:p>
    <w:bookmarkEnd w:id="0"/>
    <w:p w14:paraId="45E43FC9" w14:textId="5007893A" w:rsidR="00715314" w:rsidRDefault="00715314" w:rsidP="00715314">
      <w:pPr>
        <w:pStyle w:val="SchemaDefinitionenHeader"/>
      </w:pPr>
      <w:r>
        <w:t>Kurzs</w:t>
      </w:r>
      <w:r w:rsidRPr="00A90E7F">
        <w:t>chema</w:t>
      </w:r>
    </w:p>
    <w:p w14:paraId="1D18C97C" w14:textId="3022692C" w:rsidR="00715314" w:rsidRDefault="00715314" w:rsidP="00715314">
      <w:pPr>
        <w:pStyle w:val="SchemaDefinitionenHeader"/>
      </w:pPr>
    </w:p>
    <w:p w14:paraId="5A951077" w14:textId="6E6D8DC5" w:rsidR="00C24865" w:rsidRPr="003C0472" w:rsidRDefault="00000000" w:rsidP="00C24865">
      <w:pPr>
        <w:pStyle w:val="SchemaDefinitionenHeader"/>
        <w:numPr>
          <w:ilvl w:val="0"/>
          <w:numId w:val="1"/>
        </w:numPr>
        <w:ind w:left="720"/>
        <w:rPr>
          <w:b/>
          <w:bCs/>
          <w:color w:val="auto"/>
          <w:sz w:val="18"/>
          <w:szCs w:val="18"/>
        </w:rPr>
      </w:pPr>
      <w:hyperlink w:anchor="Vorprüfung" w:history="1">
        <w:r w:rsidR="00C24865" w:rsidRPr="003C0472">
          <w:rPr>
            <w:rStyle w:val="Hyperlink"/>
            <w:b/>
            <w:bCs/>
            <w:color w:val="auto"/>
            <w:sz w:val="18"/>
            <w:szCs w:val="18"/>
            <w:u w:val="none"/>
          </w:rPr>
          <w:t>Vorprüfung</w:t>
        </w:r>
      </w:hyperlink>
    </w:p>
    <w:p w14:paraId="23A58C69" w14:textId="0F31784C" w:rsidR="00C24865" w:rsidRPr="003C0472" w:rsidRDefault="00000000" w:rsidP="00C24865">
      <w:pPr>
        <w:pStyle w:val="SchemaDefinitionenHeader"/>
        <w:numPr>
          <w:ilvl w:val="0"/>
          <w:numId w:val="2"/>
        </w:numPr>
        <w:ind w:left="1080"/>
        <w:rPr>
          <w:b/>
          <w:bCs/>
          <w:color w:val="auto"/>
          <w:sz w:val="18"/>
          <w:szCs w:val="18"/>
        </w:rPr>
      </w:pPr>
      <w:hyperlink w:anchor="Nichtvorliegen" w:history="1">
        <w:r w:rsidR="00C24865" w:rsidRPr="003C0472">
          <w:rPr>
            <w:rStyle w:val="Hyperlink"/>
            <w:b/>
            <w:bCs/>
            <w:color w:val="auto"/>
            <w:sz w:val="18"/>
            <w:szCs w:val="18"/>
            <w:u w:val="none"/>
          </w:rPr>
          <w:t>Nichtvorliegen einer vollendeten Anstiftung</w:t>
        </w:r>
      </w:hyperlink>
    </w:p>
    <w:p w14:paraId="07A70A14" w14:textId="695F09EC" w:rsidR="00C24865" w:rsidRPr="003C0472" w:rsidRDefault="00000000" w:rsidP="00C24865">
      <w:pPr>
        <w:pStyle w:val="SchemaDefinitionenHeader"/>
        <w:numPr>
          <w:ilvl w:val="0"/>
          <w:numId w:val="2"/>
        </w:numPr>
        <w:ind w:left="1080"/>
        <w:rPr>
          <w:b/>
          <w:bCs/>
          <w:color w:val="auto"/>
          <w:sz w:val="18"/>
          <w:szCs w:val="18"/>
        </w:rPr>
      </w:pPr>
      <w:hyperlink w:anchor="Strafbarkeit" w:history="1">
        <w:r w:rsidR="00C24865" w:rsidRPr="003C0472">
          <w:rPr>
            <w:rStyle w:val="Hyperlink"/>
            <w:b/>
            <w:bCs/>
            <w:color w:val="auto"/>
            <w:sz w:val="18"/>
            <w:szCs w:val="18"/>
            <w:u w:val="none"/>
          </w:rPr>
          <w:t>Strafbarkeit des Versuches</w:t>
        </w:r>
      </w:hyperlink>
    </w:p>
    <w:p w14:paraId="0D7A3D2B" w14:textId="30C4E55F" w:rsidR="00C24865" w:rsidRPr="003C0472" w:rsidRDefault="00000000" w:rsidP="00C24865">
      <w:pPr>
        <w:pStyle w:val="SchemaDefinitionenHeader"/>
        <w:numPr>
          <w:ilvl w:val="0"/>
          <w:numId w:val="1"/>
        </w:numPr>
        <w:ind w:left="720"/>
        <w:rPr>
          <w:b/>
          <w:bCs/>
          <w:color w:val="auto"/>
          <w:sz w:val="18"/>
          <w:szCs w:val="18"/>
        </w:rPr>
      </w:pPr>
      <w:hyperlink w:anchor="Tatbestand" w:history="1">
        <w:r w:rsidR="00C24865" w:rsidRPr="003C0472">
          <w:rPr>
            <w:rStyle w:val="Hyperlink"/>
            <w:b/>
            <w:bCs/>
            <w:color w:val="auto"/>
            <w:sz w:val="18"/>
            <w:szCs w:val="18"/>
            <w:u w:val="none"/>
          </w:rPr>
          <w:t>Tatbestand</w:t>
        </w:r>
      </w:hyperlink>
    </w:p>
    <w:p w14:paraId="2589422F" w14:textId="572507C5" w:rsidR="00C24865" w:rsidRPr="003C0472" w:rsidRDefault="00000000" w:rsidP="00C24865">
      <w:pPr>
        <w:pStyle w:val="SchemaDefinitionenHeader"/>
        <w:numPr>
          <w:ilvl w:val="3"/>
          <w:numId w:val="2"/>
        </w:numPr>
        <w:ind w:left="1068"/>
        <w:rPr>
          <w:b/>
          <w:bCs/>
          <w:color w:val="auto"/>
          <w:sz w:val="18"/>
          <w:szCs w:val="18"/>
        </w:rPr>
      </w:pPr>
      <w:hyperlink w:anchor="Tatentschluss" w:history="1">
        <w:r w:rsidR="00C24865" w:rsidRPr="003C0472">
          <w:rPr>
            <w:rStyle w:val="Hyperlink"/>
            <w:b/>
            <w:bCs/>
            <w:color w:val="auto"/>
            <w:sz w:val="18"/>
            <w:szCs w:val="18"/>
            <w:u w:val="none"/>
          </w:rPr>
          <w:t>Tatentschluss</w:t>
        </w:r>
      </w:hyperlink>
    </w:p>
    <w:p w14:paraId="0D935C84" w14:textId="331F8314" w:rsidR="00C24865" w:rsidRPr="003C0472" w:rsidRDefault="00000000" w:rsidP="00C24865">
      <w:pPr>
        <w:pStyle w:val="SchemaDefinitionenHeader"/>
        <w:numPr>
          <w:ilvl w:val="0"/>
          <w:numId w:val="28"/>
        </w:numPr>
        <w:rPr>
          <w:bCs/>
          <w:i/>
          <w:iCs/>
          <w:color w:val="auto"/>
          <w:sz w:val="18"/>
          <w:szCs w:val="18"/>
        </w:rPr>
      </w:pPr>
      <w:hyperlink w:anchor="Sich_bereit_erklären" w:history="1">
        <w:r w:rsidR="00C24865" w:rsidRPr="003C0472">
          <w:rPr>
            <w:rStyle w:val="Hyperlink"/>
            <w:bCs/>
            <w:i/>
            <w:iCs/>
            <w:color w:val="auto"/>
            <w:sz w:val="18"/>
            <w:szCs w:val="18"/>
            <w:u w:val="none"/>
          </w:rPr>
          <w:t>Sich bereit erklären, § 30 II Alt. 1 StGB</w:t>
        </w:r>
      </w:hyperlink>
    </w:p>
    <w:p w14:paraId="75E917A9" w14:textId="561D4E84" w:rsidR="00C24865" w:rsidRPr="003C0472" w:rsidRDefault="00000000" w:rsidP="00C24865">
      <w:pPr>
        <w:pStyle w:val="SchemaDefinitionenHeader"/>
        <w:numPr>
          <w:ilvl w:val="0"/>
          <w:numId w:val="28"/>
        </w:numPr>
        <w:rPr>
          <w:bCs/>
          <w:i/>
          <w:iCs/>
          <w:color w:val="auto"/>
          <w:sz w:val="18"/>
          <w:szCs w:val="18"/>
        </w:rPr>
      </w:pPr>
      <w:hyperlink w:anchor="Annahme_erbietens" w:history="1">
        <w:r w:rsidR="00C24865" w:rsidRPr="003C0472">
          <w:rPr>
            <w:rStyle w:val="Hyperlink"/>
            <w:bCs/>
            <w:i/>
            <w:iCs/>
            <w:color w:val="auto"/>
            <w:sz w:val="18"/>
            <w:szCs w:val="18"/>
            <w:u w:val="none"/>
          </w:rPr>
          <w:t>Annahme des Erbietens, § 30 II Alt. 1 StGB</w:t>
        </w:r>
      </w:hyperlink>
    </w:p>
    <w:p w14:paraId="3329830B" w14:textId="62832398" w:rsidR="00C24865" w:rsidRPr="003C0472" w:rsidRDefault="00000000" w:rsidP="00715314">
      <w:pPr>
        <w:pStyle w:val="SchemaDefinitionenHeader"/>
        <w:numPr>
          <w:ilvl w:val="0"/>
          <w:numId w:val="28"/>
        </w:numPr>
        <w:rPr>
          <w:bCs/>
          <w:i/>
          <w:iCs/>
          <w:color w:val="auto"/>
          <w:sz w:val="18"/>
          <w:szCs w:val="18"/>
        </w:rPr>
      </w:pPr>
      <w:hyperlink w:anchor="Verabredung" w:history="1">
        <w:r w:rsidR="00C24865" w:rsidRPr="003C0472">
          <w:rPr>
            <w:rStyle w:val="Hyperlink"/>
            <w:bCs/>
            <w:i/>
            <w:iCs/>
            <w:color w:val="auto"/>
            <w:sz w:val="18"/>
            <w:szCs w:val="18"/>
            <w:u w:val="none"/>
          </w:rPr>
          <w:t>Verabredung mit einem anderen, § 30 II Alt. 1 StGB</w:t>
        </w:r>
      </w:hyperlink>
    </w:p>
    <w:p w14:paraId="528B7E0C" w14:textId="10074209" w:rsidR="00C24865" w:rsidRPr="003C0472" w:rsidRDefault="00000000" w:rsidP="003C0472">
      <w:pPr>
        <w:pStyle w:val="SchemaDefinitionenHeader"/>
        <w:numPr>
          <w:ilvl w:val="3"/>
          <w:numId w:val="2"/>
        </w:numPr>
        <w:ind w:left="1068"/>
        <w:rPr>
          <w:b/>
          <w:bCs/>
          <w:color w:val="auto"/>
          <w:sz w:val="18"/>
          <w:szCs w:val="18"/>
        </w:rPr>
      </w:pPr>
      <w:hyperlink w:anchor="Unmitt_Ansetzen" w:history="1">
        <w:r w:rsidR="00C24865" w:rsidRPr="003C0472">
          <w:rPr>
            <w:rStyle w:val="Hyperlink"/>
            <w:b/>
            <w:bCs/>
            <w:color w:val="auto"/>
            <w:sz w:val="18"/>
            <w:szCs w:val="18"/>
            <w:u w:val="none"/>
          </w:rPr>
          <w:t>Unmittelbares Ansetzen</w:t>
        </w:r>
      </w:hyperlink>
    </w:p>
    <w:p w14:paraId="39D72DF4" w14:textId="582E67E5" w:rsidR="00C24865" w:rsidRPr="003C0472" w:rsidRDefault="00000000" w:rsidP="003C0472">
      <w:pPr>
        <w:pStyle w:val="SchemaDefinitionenHeader"/>
        <w:numPr>
          <w:ilvl w:val="0"/>
          <w:numId w:val="1"/>
        </w:numPr>
        <w:ind w:left="720"/>
        <w:rPr>
          <w:b/>
          <w:bCs/>
          <w:color w:val="auto"/>
          <w:sz w:val="18"/>
          <w:szCs w:val="18"/>
        </w:rPr>
      </w:pPr>
      <w:hyperlink w:anchor="RW" w:history="1">
        <w:r w:rsidR="00C24865" w:rsidRPr="003C0472">
          <w:rPr>
            <w:rStyle w:val="Hyperlink"/>
            <w:b/>
            <w:bCs/>
            <w:color w:val="auto"/>
            <w:sz w:val="18"/>
            <w:szCs w:val="18"/>
            <w:u w:val="none"/>
          </w:rPr>
          <w:t>Rechtswidrigkeit</w:t>
        </w:r>
      </w:hyperlink>
    </w:p>
    <w:p w14:paraId="0F0AB77F" w14:textId="258A285C" w:rsidR="00C24865" w:rsidRPr="003C0472" w:rsidRDefault="00000000" w:rsidP="003C0472">
      <w:pPr>
        <w:pStyle w:val="SchemaDefinitionenHeader"/>
        <w:numPr>
          <w:ilvl w:val="0"/>
          <w:numId w:val="1"/>
        </w:numPr>
        <w:ind w:left="720"/>
        <w:rPr>
          <w:b/>
          <w:bCs/>
          <w:color w:val="auto"/>
          <w:sz w:val="18"/>
          <w:szCs w:val="18"/>
        </w:rPr>
      </w:pPr>
      <w:hyperlink w:anchor="Schuld" w:history="1">
        <w:r w:rsidR="00C24865" w:rsidRPr="003C0472">
          <w:rPr>
            <w:rStyle w:val="Hyperlink"/>
            <w:b/>
            <w:bCs/>
            <w:color w:val="auto"/>
            <w:sz w:val="18"/>
            <w:szCs w:val="18"/>
            <w:u w:val="none"/>
          </w:rPr>
          <w:t>Schuld</w:t>
        </w:r>
      </w:hyperlink>
    </w:p>
    <w:p w14:paraId="292E2C0D" w14:textId="1E84F489" w:rsidR="00C24865" w:rsidRPr="003C0472" w:rsidRDefault="00000000" w:rsidP="003C0472">
      <w:pPr>
        <w:pStyle w:val="SchemaDefinitionenHeader"/>
        <w:numPr>
          <w:ilvl w:val="0"/>
          <w:numId w:val="1"/>
        </w:numPr>
        <w:ind w:left="720"/>
        <w:rPr>
          <w:b/>
          <w:bCs/>
          <w:color w:val="auto"/>
          <w:sz w:val="18"/>
          <w:szCs w:val="18"/>
        </w:rPr>
      </w:pPr>
      <w:hyperlink w:anchor="Rücktritt" w:history="1">
        <w:r w:rsidR="00C24865" w:rsidRPr="003C0472">
          <w:rPr>
            <w:rStyle w:val="Hyperlink"/>
            <w:b/>
            <w:bCs/>
            <w:color w:val="auto"/>
            <w:sz w:val="18"/>
            <w:szCs w:val="18"/>
            <w:u w:val="none"/>
          </w:rPr>
          <w:t>Rücktritt</w:t>
        </w:r>
      </w:hyperlink>
    </w:p>
    <w:p w14:paraId="7BD62BDF" w14:textId="4D5E4A95" w:rsidR="00C24865" w:rsidRPr="003C0472" w:rsidRDefault="00000000" w:rsidP="003C0472">
      <w:pPr>
        <w:pStyle w:val="SchemaDefinitionenHeader"/>
        <w:numPr>
          <w:ilvl w:val="0"/>
          <w:numId w:val="1"/>
        </w:numPr>
        <w:ind w:left="720"/>
        <w:rPr>
          <w:b/>
          <w:bCs/>
          <w:color w:val="auto"/>
          <w:sz w:val="18"/>
          <w:szCs w:val="18"/>
        </w:rPr>
      </w:pPr>
      <w:hyperlink w:anchor="Strafmilderung" w:history="1">
        <w:r w:rsidR="00C24865" w:rsidRPr="003C0472">
          <w:rPr>
            <w:rStyle w:val="Hyperlink"/>
            <w:b/>
            <w:bCs/>
            <w:color w:val="auto"/>
            <w:sz w:val="18"/>
            <w:szCs w:val="18"/>
            <w:u w:val="none"/>
          </w:rPr>
          <w:t>Strafmilderung nach §§ 30 I 2, 49 I StGB</w:t>
        </w:r>
      </w:hyperlink>
    </w:p>
    <w:p w14:paraId="4DC39E48" w14:textId="77777777" w:rsidR="00C24865" w:rsidRDefault="00C24865" w:rsidP="00715314">
      <w:pPr>
        <w:pStyle w:val="SchemaDefinitionenHeader"/>
      </w:pPr>
    </w:p>
    <w:p w14:paraId="40EF3CE0" w14:textId="77777777" w:rsidR="00715314" w:rsidRDefault="00715314">
      <w:pPr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49618820" w14:textId="77777777" w:rsidR="00C24865" w:rsidRDefault="00C24865" w:rsidP="00C24865">
      <w:pPr>
        <w:jc w:val="both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lastRenderedPageBreak/>
        <w:t>§ 30 StGB – Versuch der Beteiligten</w:t>
      </w:r>
    </w:p>
    <w:p w14:paraId="3DB00599" w14:textId="77777777" w:rsidR="00C24865" w:rsidRDefault="00C24865" w:rsidP="00C24865">
      <w:pPr>
        <w:pStyle w:val="SchemaDefinitionenHeader"/>
      </w:pPr>
      <w:r w:rsidRPr="00A90E7F">
        <w:t>Schema</w:t>
      </w:r>
    </w:p>
    <w:p w14:paraId="24D38D7C" w14:textId="77777777" w:rsidR="00C24865" w:rsidRDefault="00C24865" w:rsidP="00C24865">
      <w:pPr>
        <w:pStyle w:val="Tatbestandberschriften"/>
        <w:tabs>
          <w:tab w:val="left" w:pos="3965"/>
        </w:tabs>
        <w:spacing w:after="0"/>
      </w:pPr>
    </w:p>
    <w:p w14:paraId="62E78BC9" w14:textId="61C2AAC3" w:rsidR="00C24865" w:rsidRPr="003C0472" w:rsidRDefault="00C24865" w:rsidP="003C0472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bookmarkStart w:id="1" w:name="Vorprüfung"/>
      <w:r w:rsidRPr="003C0472">
        <w:rPr>
          <w:b/>
          <w:bCs/>
          <w:color w:val="auto"/>
        </w:rPr>
        <w:t>Vorprüfung</w:t>
      </w:r>
    </w:p>
    <w:p w14:paraId="67EA91A2" w14:textId="00B7CF05" w:rsidR="00C24865" w:rsidRPr="003C0472" w:rsidRDefault="00C24865" w:rsidP="003C0472">
      <w:pPr>
        <w:pStyle w:val="SchemaDefinitionenHeader"/>
        <w:numPr>
          <w:ilvl w:val="0"/>
          <w:numId w:val="31"/>
        </w:numPr>
        <w:rPr>
          <w:b/>
          <w:bCs/>
          <w:color w:val="auto"/>
        </w:rPr>
      </w:pPr>
      <w:bookmarkStart w:id="2" w:name="Nichtvorliegen"/>
      <w:bookmarkEnd w:id="1"/>
      <w:r w:rsidRPr="003C0472">
        <w:rPr>
          <w:b/>
          <w:bCs/>
          <w:color w:val="auto"/>
        </w:rPr>
        <w:t>Nichtvorliegen einer vollendeten Anstiftung</w:t>
      </w:r>
    </w:p>
    <w:bookmarkEnd w:id="2"/>
    <w:p w14:paraId="2CE1D81B" w14:textId="70178306" w:rsidR="00C24865" w:rsidRDefault="00C24865" w:rsidP="00C24865">
      <w:pPr>
        <w:pStyle w:val="SchemaDefinitionenHeader"/>
        <w:ind w:left="1080"/>
        <w:rPr>
          <w:color w:val="auto"/>
        </w:rPr>
      </w:pPr>
      <w:r w:rsidRPr="009211A7">
        <w:rPr>
          <w:color w:val="auto"/>
        </w:rPr>
        <w:t>Die Haupttat wurde entweder gar nicht oder ohne Einfluss</w:t>
      </w:r>
      <w:r w:rsidR="00731664">
        <w:rPr>
          <w:color w:val="auto"/>
        </w:rPr>
        <w:t>nahme</w:t>
      </w:r>
      <w:r w:rsidRPr="009211A7">
        <w:rPr>
          <w:color w:val="auto"/>
        </w:rPr>
        <w:t xml:space="preserve"> des Anstifters begangen.</w:t>
      </w:r>
    </w:p>
    <w:p w14:paraId="6F2C5EFE" w14:textId="77777777" w:rsidR="00C24865" w:rsidRDefault="00C24865" w:rsidP="00C24865">
      <w:pPr>
        <w:pStyle w:val="SchemaDefinitionenHeader"/>
        <w:ind w:left="1080"/>
        <w:rPr>
          <w:color w:val="auto"/>
        </w:rPr>
      </w:pPr>
    </w:p>
    <w:p w14:paraId="1A36CD40" w14:textId="77777777" w:rsidR="00731664" w:rsidRDefault="00C24865" w:rsidP="00731664">
      <w:pPr>
        <w:pStyle w:val="SchemaDefinitionenHeader"/>
        <w:ind w:left="1416"/>
        <w:rPr>
          <w:color w:val="auto"/>
        </w:rPr>
      </w:pPr>
      <w:r w:rsidRPr="009211A7">
        <w:rPr>
          <w:i/>
          <w:iCs/>
          <w:color w:val="auto"/>
        </w:rPr>
        <w:t>Fallgruppe 1:</w:t>
      </w:r>
      <w:r>
        <w:rPr>
          <w:color w:val="auto"/>
        </w:rPr>
        <w:t xml:space="preserve"> </w:t>
      </w:r>
    </w:p>
    <w:p w14:paraId="144538A7" w14:textId="510A7BA8" w:rsidR="00C24865" w:rsidRDefault="00C24865" w:rsidP="00731664">
      <w:pPr>
        <w:pStyle w:val="SchemaDefinitionenHeader"/>
        <w:ind w:left="1416"/>
        <w:rPr>
          <w:color w:val="auto"/>
        </w:rPr>
      </w:pPr>
      <w:r>
        <w:rPr>
          <w:color w:val="auto"/>
        </w:rPr>
        <w:t>Die Anstiftungshandlung erweckt beim Gegenüber keinen Tatentschluss.</w:t>
      </w:r>
    </w:p>
    <w:p w14:paraId="3E9B143E" w14:textId="77777777" w:rsidR="00C24865" w:rsidRDefault="00C24865" w:rsidP="00C24865">
      <w:pPr>
        <w:pStyle w:val="SchemaDefinitionenHeader"/>
        <w:ind w:left="1080"/>
        <w:rPr>
          <w:color w:val="auto"/>
        </w:rPr>
      </w:pPr>
    </w:p>
    <w:p w14:paraId="414109DA" w14:textId="77777777" w:rsidR="00731664" w:rsidRDefault="00C24865" w:rsidP="00731664">
      <w:pPr>
        <w:pStyle w:val="SchemaDefinitionenHeader"/>
        <w:ind w:left="1416"/>
        <w:rPr>
          <w:color w:val="auto"/>
        </w:rPr>
      </w:pPr>
      <w:r w:rsidRPr="009211A7">
        <w:rPr>
          <w:i/>
          <w:iCs/>
          <w:color w:val="auto"/>
        </w:rPr>
        <w:t>Fallgruppe 2:</w:t>
      </w:r>
      <w:r>
        <w:rPr>
          <w:color w:val="auto"/>
        </w:rPr>
        <w:t xml:space="preserve"> </w:t>
      </w:r>
    </w:p>
    <w:p w14:paraId="5E64637E" w14:textId="436CD556" w:rsidR="00C24865" w:rsidRDefault="00C24865" w:rsidP="00731664">
      <w:pPr>
        <w:pStyle w:val="SchemaDefinitionenHeader"/>
        <w:ind w:left="1416"/>
        <w:rPr>
          <w:color w:val="auto"/>
        </w:rPr>
      </w:pPr>
      <w:r>
        <w:rPr>
          <w:color w:val="auto"/>
        </w:rPr>
        <w:t>Der Gegenüber ist als omnimodo facturus bereits angestiftet, weshalb die Anstiftungshandlung nicht kausal für den Tatentschluss ist.</w:t>
      </w:r>
    </w:p>
    <w:p w14:paraId="4C49B1DD" w14:textId="77777777" w:rsidR="00C24865" w:rsidRDefault="00C24865" w:rsidP="00C24865">
      <w:pPr>
        <w:pStyle w:val="SchemaDefinitionenHeader"/>
        <w:ind w:left="1080"/>
        <w:rPr>
          <w:color w:val="auto"/>
        </w:rPr>
      </w:pPr>
    </w:p>
    <w:p w14:paraId="3191FDE2" w14:textId="77777777" w:rsidR="00731664" w:rsidRDefault="00C24865" w:rsidP="00731664">
      <w:pPr>
        <w:pStyle w:val="SchemaDefinitionenHeader"/>
        <w:ind w:left="1416"/>
        <w:rPr>
          <w:color w:val="auto"/>
        </w:rPr>
      </w:pPr>
      <w:r w:rsidRPr="009211A7">
        <w:rPr>
          <w:i/>
          <w:iCs/>
          <w:color w:val="auto"/>
        </w:rPr>
        <w:t>Fallgruppe 3:</w:t>
      </w:r>
      <w:r>
        <w:rPr>
          <w:color w:val="auto"/>
        </w:rPr>
        <w:t xml:space="preserve"> </w:t>
      </w:r>
    </w:p>
    <w:p w14:paraId="42394400" w14:textId="0E5D267F" w:rsidR="00C24865" w:rsidRPr="009211A7" w:rsidRDefault="00C24865" w:rsidP="00731664">
      <w:pPr>
        <w:pStyle w:val="SchemaDefinitionenHeader"/>
        <w:ind w:left="1416"/>
        <w:rPr>
          <w:color w:val="auto"/>
        </w:rPr>
      </w:pPr>
      <w:r>
        <w:rPr>
          <w:color w:val="auto"/>
        </w:rPr>
        <w:t xml:space="preserve">Die Anstiftungshandlung ist erfolgreich und </w:t>
      </w:r>
      <w:r w:rsidR="00731664">
        <w:rPr>
          <w:color w:val="auto"/>
        </w:rPr>
        <w:t xml:space="preserve">ruft </w:t>
      </w:r>
      <w:r>
        <w:rPr>
          <w:color w:val="auto"/>
        </w:rPr>
        <w:t xml:space="preserve">beim Täter </w:t>
      </w:r>
      <w:r w:rsidR="00731664">
        <w:rPr>
          <w:color w:val="auto"/>
        </w:rPr>
        <w:t>den</w:t>
      </w:r>
      <w:r>
        <w:rPr>
          <w:color w:val="auto"/>
        </w:rPr>
        <w:t xml:space="preserve"> Tatentschluss hervor</w:t>
      </w:r>
      <w:r w:rsidR="00BF38AD">
        <w:rPr>
          <w:color w:val="auto"/>
        </w:rPr>
        <w:t>.</w:t>
      </w:r>
      <w:r>
        <w:rPr>
          <w:color w:val="auto"/>
        </w:rPr>
        <w:t xml:space="preserve"> </w:t>
      </w:r>
      <w:r w:rsidR="00BF38AD">
        <w:rPr>
          <w:color w:val="auto"/>
        </w:rPr>
        <w:t>J</w:t>
      </w:r>
      <w:r>
        <w:rPr>
          <w:color w:val="auto"/>
        </w:rPr>
        <w:t>edoch wird dieser Tatentschluss nicht mindestens bis zum unmittelbaren Ansetzen des Versuchs getragen</w:t>
      </w:r>
      <w:r w:rsidR="009D3756">
        <w:rPr>
          <w:color w:val="auto"/>
        </w:rPr>
        <w:t>, was beispielsweise daran liegen kann, dass</w:t>
      </w:r>
      <w:r w:rsidR="00BE0F64">
        <w:rPr>
          <w:color w:val="auto"/>
        </w:rPr>
        <w:t xml:space="preserve"> er wieder aufgegeben wird.</w:t>
      </w:r>
      <w:r w:rsidR="009D3756">
        <w:rPr>
          <w:color w:val="auto"/>
        </w:rPr>
        <w:t xml:space="preserve"> </w:t>
      </w:r>
      <w:r>
        <w:rPr>
          <w:color w:val="auto"/>
        </w:rPr>
        <w:t>Hier unterscheidet sich der § 30 StGB vom § 26 StGB</w:t>
      </w:r>
      <w:r w:rsidR="00BF38AD">
        <w:rPr>
          <w:color w:val="auto"/>
        </w:rPr>
        <w:t>.</w:t>
      </w:r>
      <w:r>
        <w:rPr>
          <w:color w:val="auto"/>
        </w:rPr>
        <w:t xml:space="preserve"> </w:t>
      </w:r>
      <w:r w:rsidR="00BF38AD">
        <w:rPr>
          <w:color w:val="auto"/>
        </w:rPr>
        <w:t>I</w:t>
      </w:r>
      <w:r>
        <w:rPr>
          <w:color w:val="auto"/>
        </w:rPr>
        <w:t>n letzterem kommt es zu einer versuchten Haupttat.</w:t>
      </w:r>
      <w:r w:rsidR="00804C6B">
        <w:rPr>
          <w:color w:val="auto"/>
        </w:rPr>
        <w:t xml:space="preserve"> Im Rahmen der hier diskutierten Fallgruppe 3 gerade nicht.</w:t>
      </w:r>
    </w:p>
    <w:p w14:paraId="29F2903D" w14:textId="77777777" w:rsidR="00C24865" w:rsidRDefault="00C24865" w:rsidP="00C24865">
      <w:pPr>
        <w:pStyle w:val="SchemaDefinitionenHeader"/>
        <w:ind w:left="1080"/>
        <w:rPr>
          <w:b/>
          <w:bCs/>
          <w:color w:val="auto"/>
        </w:rPr>
      </w:pPr>
    </w:p>
    <w:p w14:paraId="59943EA3" w14:textId="269A85B8" w:rsidR="00C24865" w:rsidRDefault="00C24865" w:rsidP="003C0472">
      <w:pPr>
        <w:pStyle w:val="SchemaDefinitionenHeader"/>
        <w:numPr>
          <w:ilvl w:val="0"/>
          <w:numId w:val="31"/>
        </w:numPr>
        <w:rPr>
          <w:b/>
          <w:bCs/>
          <w:color w:val="auto"/>
        </w:rPr>
      </w:pPr>
      <w:bookmarkStart w:id="3" w:name="Strafbarkeit"/>
      <w:r>
        <w:rPr>
          <w:b/>
          <w:bCs/>
          <w:color w:val="auto"/>
        </w:rPr>
        <w:t>Strafbarkeit des Versuchs</w:t>
      </w:r>
    </w:p>
    <w:bookmarkEnd w:id="3"/>
    <w:p w14:paraId="2733E22F" w14:textId="77777777" w:rsidR="00C24865" w:rsidRDefault="00C24865" w:rsidP="00C24865">
      <w:pPr>
        <w:pStyle w:val="SchemaDefinitionenHeader"/>
        <w:ind w:left="1080"/>
        <w:rPr>
          <w:bCs/>
          <w:color w:val="auto"/>
        </w:rPr>
      </w:pPr>
      <w:r>
        <w:rPr>
          <w:bCs/>
          <w:color w:val="auto"/>
        </w:rPr>
        <w:t>§ 30 I StGB gilt i.V.m. § 12 I StGB nur für Verbrechen, vgl. Wortlaut.</w:t>
      </w:r>
    </w:p>
    <w:p w14:paraId="0C78FF4B" w14:textId="77777777" w:rsidR="00C24865" w:rsidRDefault="00C24865" w:rsidP="00C24865">
      <w:pPr>
        <w:pStyle w:val="SchemaDefinitionenHeader"/>
        <w:ind w:left="1080"/>
        <w:rPr>
          <w:b/>
          <w:bCs/>
          <w:color w:val="auto"/>
        </w:rPr>
      </w:pPr>
    </w:p>
    <w:p w14:paraId="18E68809" w14:textId="77777777" w:rsidR="00C24865" w:rsidRDefault="00C24865" w:rsidP="003C0472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bookmarkStart w:id="4" w:name="Tatbestand"/>
      <w:r>
        <w:rPr>
          <w:b/>
          <w:bCs/>
          <w:color w:val="auto"/>
        </w:rPr>
        <w:t>Tatbestand</w:t>
      </w:r>
    </w:p>
    <w:p w14:paraId="5EFD860D" w14:textId="77777777" w:rsidR="00C24865" w:rsidRDefault="00C24865" w:rsidP="003C0472">
      <w:pPr>
        <w:pStyle w:val="SchemaDefinitionenHeader"/>
        <w:numPr>
          <w:ilvl w:val="0"/>
          <w:numId w:val="32"/>
        </w:numPr>
        <w:rPr>
          <w:b/>
          <w:bCs/>
          <w:color w:val="auto"/>
        </w:rPr>
      </w:pPr>
      <w:bookmarkStart w:id="5" w:name="Tatentschluss"/>
      <w:bookmarkEnd w:id="4"/>
      <w:r w:rsidRPr="00FB03A2">
        <w:rPr>
          <w:b/>
          <w:bCs/>
          <w:color w:val="auto"/>
        </w:rPr>
        <w:t>Tatentschluss</w:t>
      </w:r>
    </w:p>
    <w:bookmarkEnd w:id="5"/>
    <w:p w14:paraId="34B765A1" w14:textId="6F9B491F" w:rsidR="00273D64" w:rsidRDefault="00C24865" w:rsidP="00C24865">
      <w:pPr>
        <w:pStyle w:val="SchemaDefinitionenHeader"/>
        <w:ind w:left="1068"/>
        <w:rPr>
          <w:bCs/>
          <w:color w:val="auto"/>
        </w:rPr>
      </w:pPr>
      <w:r>
        <w:rPr>
          <w:bCs/>
          <w:color w:val="auto"/>
        </w:rPr>
        <w:t>Der Täter muss sich ohne jeglichen Vorbehalt zur Tat entschlossen haben</w:t>
      </w:r>
      <w:r w:rsidR="00731664">
        <w:rPr>
          <w:bCs/>
          <w:color w:val="auto"/>
        </w:rPr>
        <w:t>. Somit muss</w:t>
      </w:r>
      <w:r>
        <w:rPr>
          <w:bCs/>
          <w:color w:val="auto"/>
        </w:rPr>
        <w:t xml:space="preserve"> </w:t>
      </w:r>
      <w:r w:rsidR="00731664">
        <w:rPr>
          <w:bCs/>
          <w:color w:val="auto"/>
        </w:rPr>
        <w:t xml:space="preserve">sich </w:t>
      </w:r>
      <w:r>
        <w:rPr>
          <w:bCs/>
          <w:color w:val="auto"/>
        </w:rPr>
        <w:t xml:space="preserve">Vorsatz einschließlich Vollendungswillen auf eine Vollendung des objektiven Tatbestandes </w:t>
      </w:r>
      <w:r w:rsidR="00731664">
        <w:rPr>
          <w:bCs/>
          <w:color w:val="auto"/>
        </w:rPr>
        <w:t>beziehen.</w:t>
      </w:r>
    </w:p>
    <w:p w14:paraId="5FF8B062" w14:textId="335113B0" w:rsidR="00731664" w:rsidRDefault="00731664" w:rsidP="000536BE">
      <w:pPr>
        <w:pStyle w:val="SchemaDefinitionenHeader"/>
        <w:ind w:left="1068"/>
      </w:pPr>
    </w:p>
    <w:p w14:paraId="01BBCDE0" w14:textId="533CD65E" w:rsidR="00C24865" w:rsidRDefault="00C24865" w:rsidP="00731664">
      <w:pPr>
        <w:pStyle w:val="SchemaDefinitionenHeader"/>
        <w:ind w:left="1068"/>
        <w:rPr>
          <w:bCs/>
          <w:color w:val="auto"/>
        </w:rPr>
      </w:pPr>
      <w:r>
        <w:rPr>
          <w:bCs/>
          <w:color w:val="auto"/>
        </w:rPr>
        <w:lastRenderedPageBreak/>
        <w:t>Folgende Konstellationen werden lediglich im Rahmen des § 30 II StGB relevant:</w:t>
      </w:r>
    </w:p>
    <w:p w14:paraId="0C654185" w14:textId="77777777" w:rsidR="00731664" w:rsidRPr="00731664" w:rsidRDefault="00731664" w:rsidP="00731664">
      <w:pPr>
        <w:pStyle w:val="SchemaDefinitionenHeader"/>
        <w:ind w:left="1068"/>
        <w:rPr>
          <w:bCs/>
          <w:color w:val="auto"/>
        </w:rPr>
      </w:pPr>
    </w:p>
    <w:p w14:paraId="1CD5AD38" w14:textId="1F345CB1" w:rsidR="00C24865" w:rsidRPr="00BC480E" w:rsidRDefault="00C24865" w:rsidP="00C24865">
      <w:pPr>
        <w:pStyle w:val="SchemaDefinitionenHeader"/>
        <w:numPr>
          <w:ilvl w:val="0"/>
          <w:numId w:val="27"/>
        </w:numPr>
        <w:rPr>
          <w:bCs/>
          <w:i/>
          <w:iCs/>
          <w:color w:val="auto"/>
        </w:rPr>
      </w:pPr>
      <w:bookmarkStart w:id="6" w:name="Sich_bereit_erklären"/>
      <w:r w:rsidRPr="00BC480E">
        <w:rPr>
          <w:bCs/>
          <w:i/>
          <w:iCs/>
          <w:color w:val="auto"/>
        </w:rPr>
        <w:t xml:space="preserve">Sich </w:t>
      </w:r>
      <w:r w:rsidR="00731664">
        <w:rPr>
          <w:bCs/>
          <w:i/>
          <w:iCs/>
          <w:color w:val="auto"/>
        </w:rPr>
        <w:t>bereiterklären</w:t>
      </w:r>
      <w:r w:rsidRPr="00BC480E">
        <w:rPr>
          <w:bCs/>
          <w:i/>
          <w:iCs/>
          <w:color w:val="auto"/>
        </w:rPr>
        <w:t>, § 30 II Alt. 1 StGB</w:t>
      </w:r>
    </w:p>
    <w:bookmarkEnd w:id="6"/>
    <w:p w14:paraId="4C630294" w14:textId="2A92A6C4" w:rsidR="00C24865" w:rsidRDefault="00C24865" w:rsidP="00C24865">
      <w:pPr>
        <w:pStyle w:val="SchemaDefinitionenHeader"/>
        <w:ind w:left="1428"/>
        <w:rPr>
          <w:bCs/>
          <w:color w:val="auto"/>
        </w:rPr>
      </w:pPr>
      <w:r w:rsidRPr="000536BE">
        <w:rPr>
          <w:bCs/>
          <w:i/>
          <w:color w:val="auto"/>
        </w:rPr>
        <w:t xml:space="preserve">Sich </w:t>
      </w:r>
      <w:r w:rsidR="00731664" w:rsidRPr="000536BE">
        <w:rPr>
          <w:bCs/>
          <w:i/>
          <w:color w:val="auto"/>
        </w:rPr>
        <w:t>b</w:t>
      </w:r>
      <w:r w:rsidRPr="000536BE">
        <w:rPr>
          <w:bCs/>
          <w:i/>
          <w:color w:val="auto"/>
        </w:rPr>
        <w:t>ereiterklären</w:t>
      </w:r>
      <w:r>
        <w:rPr>
          <w:bCs/>
          <w:color w:val="auto"/>
        </w:rPr>
        <w:t xml:space="preserve"> ist</w:t>
      </w:r>
      <w:r w:rsidR="00731664">
        <w:rPr>
          <w:bCs/>
          <w:color w:val="auto"/>
        </w:rPr>
        <w:t xml:space="preserve"> die</w:t>
      </w:r>
      <w:r>
        <w:rPr>
          <w:bCs/>
          <w:color w:val="auto"/>
        </w:rPr>
        <w:t xml:space="preserve"> an eine andere Person gerichtete Erklärung, eine jedenfalls in groben Zügen hinreichend konkretisierte Tat begehen zu wollen.</w:t>
      </w:r>
      <w:r w:rsidR="00804C6B">
        <w:rPr>
          <w:bCs/>
          <w:color w:val="auto"/>
        </w:rPr>
        <w:t xml:space="preserve"> (</w:t>
      </w:r>
      <w:r w:rsidR="00804C6B" w:rsidRPr="00804C6B">
        <w:rPr>
          <w:bCs/>
          <w:color w:val="auto"/>
        </w:rPr>
        <w:t>Fischer, 67. Auflage 2020, § 30, Rn. 10</w:t>
      </w:r>
      <w:r w:rsidR="00804C6B">
        <w:rPr>
          <w:bCs/>
          <w:color w:val="auto"/>
        </w:rPr>
        <w:t>)</w:t>
      </w:r>
    </w:p>
    <w:p w14:paraId="0D66D251" w14:textId="77777777" w:rsidR="00C24865" w:rsidRDefault="00C24865" w:rsidP="00C24865">
      <w:pPr>
        <w:pStyle w:val="SchemaDefinitionenHeader"/>
        <w:ind w:left="1428"/>
        <w:rPr>
          <w:bCs/>
          <w:color w:val="auto"/>
        </w:rPr>
      </w:pPr>
    </w:p>
    <w:p w14:paraId="3C9F2C24" w14:textId="77777777" w:rsidR="00C24865" w:rsidRPr="00BC480E" w:rsidRDefault="00C24865" w:rsidP="00C24865">
      <w:pPr>
        <w:pStyle w:val="SchemaDefinitionenHeader"/>
        <w:numPr>
          <w:ilvl w:val="0"/>
          <w:numId w:val="27"/>
        </w:numPr>
        <w:rPr>
          <w:bCs/>
          <w:i/>
          <w:iCs/>
          <w:color w:val="auto"/>
        </w:rPr>
      </w:pPr>
      <w:bookmarkStart w:id="7" w:name="Annahme_erbietens"/>
      <w:r>
        <w:rPr>
          <w:bCs/>
          <w:i/>
          <w:iCs/>
          <w:color w:val="auto"/>
        </w:rPr>
        <w:t>Annahme des Erbietens</w:t>
      </w:r>
      <w:r w:rsidRPr="00BC480E">
        <w:rPr>
          <w:bCs/>
          <w:i/>
          <w:iCs/>
          <w:color w:val="auto"/>
        </w:rPr>
        <w:t>, § 30 II Alt. 1 StGB</w:t>
      </w:r>
    </w:p>
    <w:p w14:paraId="416D3C31" w14:textId="6D480EA2" w:rsidR="00C24865" w:rsidRDefault="00731664" w:rsidP="00C24865">
      <w:pPr>
        <w:pStyle w:val="SchemaDefinitionenHeader"/>
        <w:ind w:left="1428"/>
        <w:rPr>
          <w:bCs/>
          <w:color w:val="auto"/>
        </w:rPr>
      </w:pPr>
      <w:bookmarkStart w:id="8" w:name="_Hlk104359512"/>
      <w:bookmarkEnd w:id="7"/>
      <w:r>
        <w:rPr>
          <w:bCs/>
          <w:color w:val="auto"/>
        </w:rPr>
        <w:t xml:space="preserve">Die </w:t>
      </w:r>
      <w:r w:rsidR="00C24865" w:rsidRPr="000536BE">
        <w:rPr>
          <w:bCs/>
          <w:i/>
          <w:color w:val="auto"/>
        </w:rPr>
        <w:t>Annahme des Erbietens</w:t>
      </w:r>
      <w:r w:rsidR="00C24865">
        <w:rPr>
          <w:bCs/>
          <w:color w:val="auto"/>
        </w:rPr>
        <w:t xml:space="preserve"> eines anderen zur Tatbegehung ist </w:t>
      </w:r>
      <w:r>
        <w:rPr>
          <w:bCs/>
          <w:color w:val="auto"/>
        </w:rPr>
        <w:t xml:space="preserve">eine </w:t>
      </w:r>
      <w:r w:rsidR="00C24865">
        <w:rPr>
          <w:bCs/>
          <w:color w:val="auto"/>
        </w:rPr>
        <w:t>an die anbietende Person gerichtete Erklärung</w:t>
      </w:r>
      <w:r w:rsidR="00BF38AD">
        <w:rPr>
          <w:bCs/>
          <w:color w:val="auto"/>
        </w:rPr>
        <w:t>,</w:t>
      </w:r>
      <w:r w:rsidR="00C24865">
        <w:rPr>
          <w:bCs/>
          <w:color w:val="auto"/>
        </w:rPr>
        <w:t xml:space="preserve"> das Angebot anzunehmen und damit in eine (verpflichtende) Zusage zu wandeln, selbst wenn das Anerbieten nicht ernst gemeint war.</w:t>
      </w:r>
      <w:r w:rsidR="00804C6B">
        <w:rPr>
          <w:bCs/>
          <w:color w:val="auto"/>
        </w:rPr>
        <w:t xml:space="preserve"> (</w:t>
      </w:r>
      <w:r w:rsidR="00804C6B" w:rsidRPr="00804C6B">
        <w:rPr>
          <w:bCs/>
          <w:color w:val="auto"/>
        </w:rPr>
        <w:t>Fischer, 67. Auflage 2020, § 30, Rn. 1</w:t>
      </w:r>
      <w:r w:rsidR="00804C6B">
        <w:rPr>
          <w:bCs/>
          <w:color w:val="auto"/>
        </w:rPr>
        <w:t>1)</w:t>
      </w:r>
    </w:p>
    <w:bookmarkEnd w:id="8"/>
    <w:p w14:paraId="16AAF8D9" w14:textId="77777777" w:rsidR="00C24865" w:rsidRDefault="00C24865" w:rsidP="00C24865">
      <w:pPr>
        <w:pStyle w:val="SchemaDefinitionenHeader"/>
        <w:ind w:left="1428"/>
        <w:rPr>
          <w:bCs/>
          <w:color w:val="auto"/>
        </w:rPr>
      </w:pPr>
    </w:p>
    <w:p w14:paraId="38195687" w14:textId="77777777" w:rsidR="00C24865" w:rsidRPr="00BC480E" w:rsidRDefault="00C24865" w:rsidP="00C24865">
      <w:pPr>
        <w:pStyle w:val="SchemaDefinitionenHeader"/>
        <w:numPr>
          <w:ilvl w:val="0"/>
          <w:numId w:val="27"/>
        </w:numPr>
        <w:rPr>
          <w:bCs/>
          <w:i/>
          <w:iCs/>
          <w:color w:val="auto"/>
        </w:rPr>
      </w:pPr>
      <w:bookmarkStart w:id="9" w:name="Verabredung"/>
      <w:r w:rsidRPr="00BC480E">
        <w:rPr>
          <w:bCs/>
          <w:i/>
          <w:iCs/>
          <w:color w:val="auto"/>
        </w:rPr>
        <w:t>Verabredung mit einem anderen, § 30 II Alt. 1 StGB</w:t>
      </w:r>
    </w:p>
    <w:bookmarkEnd w:id="9"/>
    <w:p w14:paraId="3F194DA3" w14:textId="349CBC98" w:rsidR="00C24865" w:rsidRPr="000B63D1" w:rsidRDefault="00C24865" w:rsidP="00C24865">
      <w:pPr>
        <w:pStyle w:val="SchemaDefinitionenHeader"/>
        <w:ind w:left="1428"/>
        <w:rPr>
          <w:bCs/>
          <w:color w:val="auto"/>
        </w:rPr>
      </w:pPr>
      <w:r w:rsidRPr="000536BE">
        <w:rPr>
          <w:bCs/>
          <w:i/>
          <w:color w:val="auto"/>
        </w:rPr>
        <w:t>Verabreden</w:t>
      </w:r>
      <w:r>
        <w:rPr>
          <w:bCs/>
          <w:color w:val="auto"/>
        </w:rPr>
        <w:t xml:space="preserve"> ist die vom ernstlichen Willen getragene Einigung von mindestens zwei Personen, an der Verwirklichung eines bestimmten Verbrechens mittäterschaftlich, also nicht nur als Gehilfe</w:t>
      </w:r>
      <w:r w:rsidR="00BF38AD">
        <w:rPr>
          <w:bCs/>
          <w:color w:val="auto"/>
        </w:rPr>
        <w:t>,</w:t>
      </w:r>
      <w:r>
        <w:rPr>
          <w:bCs/>
          <w:color w:val="auto"/>
        </w:rPr>
        <w:t xml:space="preserve"> mitzuwirken.</w:t>
      </w:r>
      <w:r w:rsidR="00804C6B">
        <w:rPr>
          <w:bCs/>
          <w:color w:val="auto"/>
        </w:rPr>
        <w:t xml:space="preserve"> (</w:t>
      </w:r>
      <w:r w:rsidR="00804C6B" w:rsidRPr="00804C6B">
        <w:rPr>
          <w:bCs/>
          <w:color w:val="auto"/>
        </w:rPr>
        <w:t>Fischer, 67. Auflage 2020, § 30, Rn. 1</w:t>
      </w:r>
      <w:r w:rsidR="00804C6B">
        <w:rPr>
          <w:bCs/>
          <w:color w:val="auto"/>
        </w:rPr>
        <w:t>2)</w:t>
      </w:r>
    </w:p>
    <w:p w14:paraId="48C442D3" w14:textId="77777777" w:rsidR="00C24865" w:rsidRPr="008A6EB2" w:rsidRDefault="00C24865" w:rsidP="00C24865">
      <w:pPr>
        <w:pStyle w:val="SchemaDefinitionenHeader"/>
        <w:ind w:left="1416"/>
        <w:rPr>
          <w:bCs/>
          <w:color w:val="auto"/>
        </w:rPr>
      </w:pPr>
    </w:p>
    <w:p w14:paraId="2C4485F9" w14:textId="4387EB7B" w:rsidR="00C24865" w:rsidRDefault="00C24865" w:rsidP="003C0472">
      <w:pPr>
        <w:pStyle w:val="SchemaDefinitionenHeader"/>
        <w:numPr>
          <w:ilvl w:val="0"/>
          <w:numId w:val="32"/>
        </w:numPr>
        <w:rPr>
          <w:b/>
          <w:bCs/>
          <w:color w:val="auto"/>
        </w:rPr>
      </w:pPr>
      <w:bookmarkStart w:id="10" w:name="Unmitt_Ansetzen"/>
      <w:bookmarkStart w:id="11" w:name="_Hlk109150247"/>
      <w:r w:rsidRPr="00FB03A2">
        <w:rPr>
          <w:b/>
          <w:bCs/>
          <w:color w:val="auto"/>
        </w:rPr>
        <w:t>Unmittelbares Ansetzen</w:t>
      </w:r>
      <w:r w:rsidR="00731664">
        <w:rPr>
          <w:b/>
          <w:bCs/>
          <w:color w:val="auto"/>
        </w:rPr>
        <w:t xml:space="preserve"> zur Anstiftung</w:t>
      </w:r>
    </w:p>
    <w:bookmarkEnd w:id="10"/>
    <w:p w14:paraId="5BD47BD2" w14:textId="3ED7572D" w:rsidR="00C24865" w:rsidRDefault="00731664" w:rsidP="00C24865">
      <w:pPr>
        <w:pStyle w:val="SchemaDefinitionenHeader"/>
        <w:ind w:left="1068"/>
        <w:rPr>
          <w:bCs/>
          <w:color w:val="auto"/>
        </w:rPr>
      </w:pPr>
      <w:r>
        <w:rPr>
          <w:bCs/>
          <w:color w:val="auto"/>
        </w:rPr>
        <w:t xml:space="preserve">Das </w:t>
      </w:r>
      <w:r w:rsidRPr="000536BE">
        <w:rPr>
          <w:bCs/>
          <w:i/>
          <w:color w:val="auto"/>
        </w:rPr>
        <w:t>unmittelbare Ansetzen zur Anstiftung</w:t>
      </w:r>
      <w:r>
        <w:rPr>
          <w:bCs/>
          <w:color w:val="auto"/>
        </w:rPr>
        <w:t xml:space="preserve"> ist eine</w:t>
      </w:r>
      <w:r w:rsidR="00C24865">
        <w:rPr>
          <w:bCs/>
          <w:color w:val="auto"/>
        </w:rPr>
        <w:t xml:space="preserve"> Einwirkung auf den Haupttäter, mithin der Versuch</w:t>
      </w:r>
      <w:r w:rsidR="00BF38AD">
        <w:rPr>
          <w:bCs/>
          <w:color w:val="auto"/>
        </w:rPr>
        <w:t>,</w:t>
      </w:r>
      <w:r w:rsidR="00C24865">
        <w:rPr>
          <w:bCs/>
          <w:color w:val="auto"/>
        </w:rPr>
        <w:t xml:space="preserve"> einen anderen zur Tat zu bestimmen. Dies</w:t>
      </w:r>
      <w:r w:rsidR="000536BE">
        <w:rPr>
          <w:bCs/>
          <w:color w:val="auto"/>
        </w:rPr>
        <w:t xml:space="preserve"> Einwirkung</w:t>
      </w:r>
      <w:r w:rsidR="00C24865">
        <w:rPr>
          <w:bCs/>
          <w:color w:val="auto"/>
        </w:rPr>
        <w:t xml:space="preserve"> ist in den meisten Fällen bereits in der Aufforderung zu sehen.</w:t>
      </w:r>
    </w:p>
    <w:bookmarkEnd w:id="11"/>
    <w:p w14:paraId="019F0361" w14:textId="77777777" w:rsidR="00C24865" w:rsidRPr="00880BE0" w:rsidRDefault="00C24865" w:rsidP="00C24865">
      <w:pPr>
        <w:pStyle w:val="SchemaDefinitionenHeader"/>
        <w:ind w:left="1068"/>
        <w:rPr>
          <w:bCs/>
          <w:color w:val="auto"/>
        </w:rPr>
      </w:pPr>
    </w:p>
    <w:p w14:paraId="2BE35D2C" w14:textId="2006361E" w:rsidR="00C24865" w:rsidRPr="00263BA8" w:rsidRDefault="00C24865" w:rsidP="00263BA8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bookmarkStart w:id="12" w:name="RW"/>
      <w:r w:rsidRPr="003C0472">
        <w:rPr>
          <w:b/>
          <w:bCs/>
          <w:color w:val="auto"/>
        </w:rPr>
        <w:t>Rechtswidrigkeit</w:t>
      </w:r>
      <w:bookmarkEnd w:id="12"/>
    </w:p>
    <w:p w14:paraId="5D20E323" w14:textId="17951778" w:rsidR="00263BA8" w:rsidRDefault="00263BA8" w:rsidP="003C0472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bookmarkStart w:id="13" w:name="Strafmilderung"/>
      <w:r>
        <w:rPr>
          <w:b/>
          <w:bCs/>
          <w:color w:val="auto"/>
        </w:rPr>
        <w:t>Schuld</w:t>
      </w:r>
    </w:p>
    <w:p w14:paraId="4DB21D07" w14:textId="0F187536" w:rsidR="00263BA8" w:rsidRDefault="00263BA8" w:rsidP="003C0472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r>
        <w:rPr>
          <w:b/>
          <w:bCs/>
          <w:color w:val="auto"/>
        </w:rPr>
        <w:t>Rücktritt</w:t>
      </w:r>
    </w:p>
    <w:p w14:paraId="5697A460" w14:textId="77777777" w:rsidR="00263BA8" w:rsidRPr="00BC480E" w:rsidRDefault="00263BA8" w:rsidP="00263BA8">
      <w:pPr>
        <w:pStyle w:val="SchemaDefinitionenHeader"/>
        <w:ind w:left="720"/>
        <w:rPr>
          <w:b/>
          <w:bCs/>
          <w:color w:val="auto"/>
        </w:rPr>
      </w:pPr>
      <w:r w:rsidRPr="00BC480E">
        <w:rPr>
          <w:bCs/>
          <w:iCs/>
          <w:color w:val="auto"/>
        </w:rPr>
        <w:t>Es ist auf die Ausführungen des § 24 StGB zu verweisen, der dem § 31 StGB ähnlich ist.</w:t>
      </w:r>
    </w:p>
    <w:p w14:paraId="38554979" w14:textId="77777777" w:rsidR="00263BA8" w:rsidRDefault="00263BA8" w:rsidP="00263BA8">
      <w:pPr>
        <w:pStyle w:val="SchemaDefinitionenHeader"/>
        <w:ind w:left="720"/>
        <w:rPr>
          <w:b/>
          <w:bCs/>
          <w:color w:val="auto"/>
        </w:rPr>
      </w:pPr>
    </w:p>
    <w:p w14:paraId="4C7A27DE" w14:textId="3B58EA4A" w:rsidR="00BE0F64" w:rsidRDefault="00C24865" w:rsidP="003C0472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r w:rsidRPr="00BC480E">
        <w:rPr>
          <w:b/>
          <w:bCs/>
          <w:color w:val="auto"/>
        </w:rPr>
        <w:t>Strafmilderung nach §§ 30 I 2, 49 I StGB</w:t>
      </w:r>
    </w:p>
    <w:p w14:paraId="5132D14E" w14:textId="77777777" w:rsidR="00BE0F64" w:rsidRDefault="00BE0F64">
      <w:pPr>
        <w:rPr>
          <w:rFonts w:ascii="Open Sans" w:hAnsi="Open Sans" w:cs="Open Sans"/>
          <w:b/>
          <w:bCs/>
        </w:rPr>
      </w:pPr>
      <w:r>
        <w:rPr>
          <w:b/>
          <w:bCs/>
        </w:rPr>
        <w:br w:type="page"/>
      </w:r>
    </w:p>
    <w:p w14:paraId="63F337C8" w14:textId="77777777" w:rsidR="00BE0F64" w:rsidRDefault="00BE0F64" w:rsidP="00BE0F64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lastRenderedPageBreak/>
        <w:t>Quellen:</w:t>
      </w:r>
    </w:p>
    <w:p w14:paraId="04AFE9AC" w14:textId="77777777" w:rsidR="00BE0F64" w:rsidRPr="00114F9B" w:rsidRDefault="00BE0F64" w:rsidP="00BE0F64">
      <w:pPr>
        <w:jc w:val="both"/>
        <w:rPr>
          <w:rFonts w:ascii="Open Sans" w:hAnsi="Open Sans" w:cs="Open Sans"/>
          <w:bCs/>
        </w:rPr>
      </w:pPr>
      <w:bookmarkStart w:id="14" w:name="_Hlk109150001"/>
      <w:r w:rsidRPr="00114F9B">
        <w:rPr>
          <w:rFonts w:ascii="Open Sans" w:hAnsi="Open Sans" w:cs="Open Sans"/>
          <w:bCs/>
        </w:rPr>
        <w:t>Fischer, 67. Auflage 2020, § 30, Rn. 1</w:t>
      </w:r>
      <w:r>
        <w:rPr>
          <w:rFonts w:ascii="Open Sans" w:hAnsi="Open Sans" w:cs="Open Sans"/>
          <w:bCs/>
        </w:rPr>
        <w:t xml:space="preserve">0 </w:t>
      </w:r>
      <w:r w:rsidRPr="00114F9B">
        <w:rPr>
          <w:rFonts w:ascii="Open Sans" w:hAnsi="Open Sans" w:cs="Open Sans"/>
          <w:bCs/>
        </w:rPr>
        <w:t>ff.</w:t>
      </w:r>
    </w:p>
    <w:bookmarkEnd w:id="14"/>
    <w:p w14:paraId="53F91237" w14:textId="77777777" w:rsidR="00C24865" w:rsidRPr="00BC480E" w:rsidRDefault="00C24865" w:rsidP="000536BE">
      <w:pPr>
        <w:pStyle w:val="SchemaDefinitionenHeader"/>
        <w:rPr>
          <w:b/>
          <w:bCs/>
          <w:color w:val="auto"/>
        </w:rPr>
      </w:pPr>
    </w:p>
    <w:bookmarkEnd w:id="13"/>
    <w:p w14:paraId="5378D6A5" w14:textId="054D0D0F" w:rsidR="00295E1E" w:rsidRPr="00D01277" w:rsidRDefault="00295E1E" w:rsidP="00C24865">
      <w:pPr>
        <w:jc w:val="both"/>
        <w:rPr>
          <w:rFonts w:ascii="Open Sans" w:hAnsi="Open Sans" w:cs="Open Sans"/>
        </w:rPr>
      </w:pPr>
    </w:p>
    <w:sectPr w:rsidR="00295E1E" w:rsidRPr="00D0127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44196" w14:textId="77777777" w:rsidR="00CE3749" w:rsidRDefault="00CE3749" w:rsidP="0041069B">
      <w:pPr>
        <w:spacing w:after="0" w:line="240" w:lineRule="auto"/>
      </w:pPr>
      <w:r>
        <w:separator/>
      </w:r>
    </w:p>
  </w:endnote>
  <w:endnote w:type="continuationSeparator" w:id="0">
    <w:p w14:paraId="067DE078" w14:textId="77777777" w:rsidR="00CE3749" w:rsidRDefault="00CE3749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A60D0D">
      <w:tc>
        <w:tcPr>
          <w:tcW w:w="3020" w:type="dxa"/>
        </w:tcPr>
        <w:bookmarkStart w:id="15" w:name="_Hlk64808829"/>
        <w:bookmarkStart w:id="16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2BB169AE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50BC762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550B3E60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77777777" w:rsidR="00A60D0D" w:rsidRDefault="00A60D0D" w:rsidP="0041069B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</w:p>
      </w:tc>
    </w:tr>
    <w:bookmarkEnd w:id="15"/>
    <w:bookmarkEnd w:id="16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36CD" w14:textId="77777777" w:rsidR="00CE3749" w:rsidRDefault="00CE3749" w:rsidP="0041069B">
      <w:pPr>
        <w:spacing w:after="0" w:line="240" w:lineRule="auto"/>
      </w:pPr>
      <w:r>
        <w:separator/>
      </w:r>
    </w:p>
  </w:footnote>
  <w:footnote w:type="continuationSeparator" w:id="0">
    <w:p w14:paraId="594FD90F" w14:textId="77777777" w:rsidR="00CE3749" w:rsidRDefault="00CE3749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40417F8"/>
    <w:multiLevelType w:val="hybridMultilevel"/>
    <w:tmpl w:val="C6AAEDEA"/>
    <w:lvl w:ilvl="0" w:tplc="079064C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 w15:restartNumberingAfterBreak="0">
    <w:nsid w:val="1CE8396F"/>
    <w:multiLevelType w:val="hybridMultilevel"/>
    <w:tmpl w:val="73F88A60"/>
    <w:lvl w:ilvl="0" w:tplc="1C88EC60">
      <w:start w:val="1"/>
      <w:numFmt w:val="decimal"/>
      <w:lvlText w:val="%1."/>
      <w:lvlJc w:val="left"/>
      <w:pPr>
        <w:ind w:left="1068" w:hanging="360"/>
      </w:pPr>
      <w:rPr>
        <w:rFonts w:ascii="Open Sans" w:eastAsiaTheme="minorHAnsi" w:hAnsi="Open Sans" w:cs="Open Sans"/>
      </w:rPr>
    </w:lvl>
    <w:lvl w:ilvl="1" w:tplc="C20CE49C">
      <w:start w:val="1"/>
      <w:numFmt w:val="decimal"/>
      <w:lvlText w:val="%2."/>
      <w:lvlJc w:val="left"/>
      <w:pPr>
        <w:ind w:left="1788" w:hanging="360"/>
      </w:pPr>
      <w:rPr>
        <w:rFonts w:ascii="Open Sans" w:eastAsiaTheme="minorHAnsi" w:hAnsi="Open Sans" w:cs="Open Sans"/>
      </w:r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333FEC"/>
    <w:multiLevelType w:val="hybridMultilevel"/>
    <w:tmpl w:val="083A1070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15E7AF2">
      <w:start w:val="1"/>
      <w:numFmt w:val="lowerLetter"/>
      <w:lvlText w:val="%2."/>
      <w:lvlJc w:val="left"/>
      <w:pPr>
        <w:ind w:left="2160" w:hanging="360"/>
      </w:pPr>
      <w:rPr>
        <w:rFonts w:ascii="Open Sans" w:eastAsiaTheme="minorHAnsi" w:hAnsi="Open Sans" w:cs="Open Sans"/>
      </w:r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EB941932">
      <w:start w:val="1"/>
      <w:numFmt w:val="upperRoman"/>
      <w:lvlText w:val="%5."/>
      <w:lvlJc w:val="left"/>
      <w:pPr>
        <w:ind w:left="4680" w:hanging="72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8D24FA"/>
    <w:multiLevelType w:val="hybridMultilevel"/>
    <w:tmpl w:val="A4665826"/>
    <w:lvl w:ilvl="0" w:tplc="97BCB0B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B46600F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7B64EE"/>
    <w:multiLevelType w:val="hybridMultilevel"/>
    <w:tmpl w:val="D65E5854"/>
    <w:lvl w:ilvl="0" w:tplc="C618209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5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6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9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0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2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3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EE1536"/>
    <w:multiLevelType w:val="hybridMultilevel"/>
    <w:tmpl w:val="083A1070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15E7AF2">
      <w:start w:val="1"/>
      <w:numFmt w:val="lowerLetter"/>
      <w:lvlText w:val="%2."/>
      <w:lvlJc w:val="left"/>
      <w:pPr>
        <w:ind w:left="1800" w:hanging="360"/>
      </w:pPr>
      <w:rPr>
        <w:rFonts w:ascii="Open Sans" w:eastAsiaTheme="minorHAnsi" w:hAnsi="Open Sans" w:cs="Open Sans"/>
      </w:r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EB941932">
      <w:start w:val="1"/>
      <w:numFmt w:val="upperRoman"/>
      <w:lvlText w:val="%5."/>
      <w:lvlJc w:val="left"/>
      <w:pPr>
        <w:ind w:left="4320" w:hanging="72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761C68D0"/>
    <w:multiLevelType w:val="hybridMultilevel"/>
    <w:tmpl w:val="083A1070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15E7AF2">
      <w:start w:val="1"/>
      <w:numFmt w:val="lowerLetter"/>
      <w:lvlText w:val="%2."/>
      <w:lvlJc w:val="left"/>
      <w:pPr>
        <w:ind w:left="1800" w:hanging="360"/>
      </w:pPr>
      <w:rPr>
        <w:rFonts w:ascii="Open Sans" w:eastAsiaTheme="minorHAnsi" w:hAnsi="Open Sans" w:cs="Open Sans"/>
      </w:r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EB941932">
      <w:start w:val="1"/>
      <w:numFmt w:val="upperRoman"/>
      <w:lvlText w:val="%5."/>
      <w:lvlJc w:val="left"/>
      <w:pPr>
        <w:ind w:left="4320" w:hanging="720"/>
      </w:pPr>
      <w:rPr>
        <w:rFonts w:hint="default"/>
      </w:r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30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31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2115051811">
    <w:abstractNumId w:val="25"/>
  </w:num>
  <w:num w:numId="2" w16cid:durableId="1580096965">
    <w:abstractNumId w:val="6"/>
  </w:num>
  <w:num w:numId="3" w16cid:durableId="1550068199">
    <w:abstractNumId w:val="8"/>
  </w:num>
  <w:num w:numId="4" w16cid:durableId="1994942488">
    <w:abstractNumId w:val="28"/>
  </w:num>
  <w:num w:numId="5" w16cid:durableId="528370291">
    <w:abstractNumId w:val="31"/>
  </w:num>
  <w:num w:numId="6" w16cid:durableId="170335921">
    <w:abstractNumId w:val="18"/>
  </w:num>
  <w:num w:numId="7" w16cid:durableId="565997028">
    <w:abstractNumId w:val="15"/>
  </w:num>
  <w:num w:numId="8" w16cid:durableId="368843065">
    <w:abstractNumId w:val="21"/>
  </w:num>
  <w:num w:numId="9" w16cid:durableId="1122310605">
    <w:abstractNumId w:val="26"/>
  </w:num>
  <w:num w:numId="10" w16cid:durableId="1793552281">
    <w:abstractNumId w:val="16"/>
  </w:num>
  <w:num w:numId="11" w16cid:durableId="1501509003">
    <w:abstractNumId w:val="30"/>
  </w:num>
  <w:num w:numId="12" w16cid:durableId="1563174933">
    <w:abstractNumId w:val="17"/>
  </w:num>
  <w:num w:numId="13" w16cid:durableId="346251061">
    <w:abstractNumId w:val="29"/>
  </w:num>
  <w:num w:numId="14" w16cid:durableId="1844661831">
    <w:abstractNumId w:val="22"/>
  </w:num>
  <w:num w:numId="15" w16cid:durableId="1805538029">
    <w:abstractNumId w:val="14"/>
  </w:num>
  <w:num w:numId="16" w16cid:durableId="40832208">
    <w:abstractNumId w:val="0"/>
  </w:num>
  <w:num w:numId="17" w16cid:durableId="648943865">
    <w:abstractNumId w:val="19"/>
  </w:num>
  <w:num w:numId="18" w16cid:durableId="530262781">
    <w:abstractNumId w:val="2"/>
  </w:num>
  <w:num w:numId="19" w16cid:durableId="295989982">
    <w:abstractNumId w:val="20"/>
  </w:num>
  <w:num w:numId="20" w16cid:durableId="1346903907">
    <w:abstractNumId w:val="4"/>
  </w:num>
  <w:num w:numId="21" w16cid:durableId="778646849">
    <w:abstractNumId w:val="13"/>
  </w:num>
  <w:num w:numId="22" w16cid:durableId="334654582">
    <w:abstractNumId w:val="1"/>
  </w:num>
  <w:num w:numId="23" w16cid:durableId="290089424">
    <w:abstractNumId w:val="11"/>
  </w:num>
  <w:num w:numId="24" w16cid:durableId="1623074352">
    <w:abstractNumId w:val="23"/>
  </w:num>
  <w:num w:numId="25" w16cid:durableId="1121803210">
    <w:abstractNumId w:val="7"/>
  </w:num>
  <w:num w:numId="26" w16cid:durableId="829178654">
    <w:abstractNumId w:val="5"/>
  </w:num>
  <w:num w:numId="27" w16cid:durableId="2048334180">
    <w:abstractNumId w:val="3"/>
  </w:num>
  <w:num w:numId="28" w16cid:durableId="1605380760">
    <w:abstractNumId w:val="12"/>
  </w:num>
  <w:num w:numId="29" w16cid:durableId="460001558">
    <w:abstractNumId w:val="10"/>
  </w:num>
  <w:num w:numId="30" w16cid:durableId="1499999887">
    <w:abstractNumId w:val="9"/>
  </w:num>
  <w:num w:numId="31" w16cid:durableId="1197934864">
    <w:abstractNumId w:val="24"/>
  </w:num>
  <w:num w:numId="32" w16cid:durableId="7022942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40184"/>
    <w:rsid w:val="000536BE"/>
    <w:rsid w:val="000C2B85"/>
    <w:rsid w:val="0010748A"/>
    <w:rsid w:val="0017497A"/>
    <w:rsid w:val="00185932"/>
    <w:rsid w:val="00192777"/>
    <w:rsid w:val="002230EF"/>
    <w:rsid w:val="002577DC"/>
    <w:rsid w:val="00257A0B"/>
    <w:rsid w:val="00263BA8"/>
    <w:rsid w:val="00273D64"/>
    <w:rsid w:val="00295E1E"/>
    <w:rsid w:val="002A368A"/>
    <w:rsid w:val="00397A7D"/>
    <w:rsid w:val="003C0472"/>
    <w:rsid w:val="003D5108"/>
    <w:rsid w:val="0041069B"/>
    <w:rsid w:val="00415653"/>
    <w:rsid w:val="00445655"/>
    <w:rsid w:val="00446D1C"/>
    <w:rsid w:val="00473757"/>
    <w:rsid w:val="004A7925"/>
    <w:rsid w:val="004F059B"/>
    <w:rsid w:val="00511048"/>
    <w:rsid w:val="00517716"/>
    <w:rsid w:val="00522A4E"/>
    <w:rsid w:val="00574C17"/>
    <w:rsid w:val="005A556D"/>
    <w:rsid w:val="005E2DC1"/>
    <w:rsid w:val="005F668B"/>
    <w:rsid w:val="006178E1"/>
    <w:rsid w:val="006242E8"/>
    <w:rsid w:val="00685E8F"/>
    <w:rsid w:val="00693D80"/>
    <w:rsid w:val="006B7D18"/>
    <w:rsid w:val="006C330F"/>
    <w:rsid w:val="006D77EF"/>
    <w:rsid w:val="006E1970"/>
    <w:rsid w:val="006E34BE"/>
    <w:rsid w:val="00715314"/>
    <w:rsid w:val="00722F4A"/>
    <w:rsid w:val="00731664"/>
    <w:rsid w:val="00744F0C"/>
    <w:rsid w:val="00756EF3"/>
    <w:rsid w:val="00763B80"/>
    <w:rsid w:val="0077736A"/>
    <w:rsid w:val="007C4C5F"/>
    <w:rsid w:val="007D1C6B"/>
    <w:rsid w:val="007D788D"/>
    <w:rsid w:val="007F54BD"/>
    <w:rsid w:val="00803E31"/>
    <w:rsid w:val="00804C6B"/>
    <w:rsid w:val="00856EB0"/>
    <w:rsid w:val="008627A7"/>
    <w:rsid w:val="008953F3"/>
    <w:rsid w:val="008959AC"/>
    <w:rsid w:val="008975C9"/>
    <w:rsid w:val="008C7B6C"/>
    <w:rsid w:val="008E352C"/>
    <w:rsid w:val="008E497E"/>
    <w:rsid w:val="00980C30"/>
    <w:rsid w:val="009A223F"/>
    <w:rsid w:val="009A7135"/>
    <w:rsid w:val="009B5901"/>
    <w:rsid w:val="009D3756"/>
    <w:rsid w:val="00A07F0F"/>
    <w:rsid w:val="00A60D0D"/>
    <w:rsid w:val="00A6156E"/>
    <w:rsid w:val="00A84793"/>
    <w:rsid w:val="00B20871"/>
    <w:rsid w:val="00B274E4"/>
    <w:rsid w:val="00B319F6"/>
    <w:rsid w:val="00B65D0D"/>
    <w:rsid w:val="00B7208C"/>
    <w:rsid w:val="00BB2365"/>
    <w:rsid w:val="00BE0F64"/>
    <w:rsid w:val="00BE13DA"/>
    <w:rsid w:val="00BF38AD"/>
    <w:rsid w:val="00C2164B"/>
    <w:rsid w:val="00C24865"/>
    <w:rsid w:val="00C35596"/>
    <w:rsid w:val="00CE3749"/>
    <w:rsid w:val="00CF47F5"/>
    <w:rsid w:val="00D01277"/>
    <w:rsid w:val="00D10229"/>
    <w:rsid w:val="00D15FA7"/>
    <w:rsid w:val="00D7007F"/>
    <w:rsid w:val="00D7592C"/>
    <w:rsid w:val="00D76651"/>
    <w:rsid w:val="00DD34DC"/>
    <w:rsid w:val="00DE7393"/>
    <w:rsid w:val="00E00DCA"/>
    <w:rsid w:val="00E31E5E"/>
    <w:rsid w:val="00E34E22"/>
    <w:rsid w:val="00E471C9"/>
    <w:rsid w:val="00E715C3"/>
    <w:rsid w:val="00E950D0"/>
    <w:rsid w:val="00EA4BF1"/>
    <w:rsid w:val="00EE5B5C"/>
    <w:rsid w:val="00EF11AF"/>
    <w:rsid w:val="00F41C05"/>
    <w:rsid w:val="00F90F16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2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38A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38A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38A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38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38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9</cp:revision>
  <cp:lastPrinted>2022-02-16T20:14:00Z</cp:lastPrinted>
  <dcterms:created xsi:type="dcterms:W3CDTF">2022-06-05T09:30:00Z</dcterms:created>
  <dcterms:modified xsi:type="dcterms:W3CDTF">2022-09-07T12:19:00Z</dcterms:modified>
</cp:coreProperties>
</file>