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11C3" w14:textId="77777777" w:rsidR="00DD4444" w:rsidRDefault="00DD4444" w:rsidP="00DD4444">
      <w:pPr>
        <w:jc w:val="both"/>
        <w:rPr>
          <w:rFonts w:ascii="Open Sans" w:hAnsi="Open Sans" w:cs="Open Sans"/>
          <w:b/>
          <w:bCs/>
          <w:sz w:val="36"/>
          <w:szCs w:val="36"/>
        </w:rPr>
      </w:pPr>
      <w:bookmarkStart w:id="0" w:name="header"/>
      <w:r w:rsidRPr="00932E04">
        <w:rPr>
          <w:rFonts w:ascii="Open Sans" w:hAnsi="Open Sans" w:cs="Open Sans"/>
          <w:b/>
          <w:bCs/>
          <w:sz w:val="36"/>
          <w:szCs w:val="36"/>
        </w:rPr>
        <w:t>§</w:t>
      </w:r>
      <w:r>
        <w:rPr>
          <w:rFonts w:ascii="Open Sans" w:hAnsi="Open Sans" w:cs="Open Sans"/>
          <w:b/>
          <w:bCs/>
          <w:sz w:val="36"/>
          <w:szCs w:val="36"/>
        </w:rPr>
        <w:t xml:space="preserve"> 33</w:t>
      </w:r>
      <w:r w:rsidRPr="00932E04">
        <w:rPr>
          <w:rFonts w:ascii="Open Sans" w:hAnsi="Open Sans" w:cs="Open Sans"/>
          <w:b/>
          <w:bCs/>
          <w:sz w:val="36"/>
          <w:szCs w:val="36"/>
        </w:rPr>
        <w:t xml:space="preserve"> StGB – </w:t>
      </w:r>
      <w:r>
        <w:rPr>
          <w:rFonts w:ascii="Open Sans" w:hAnsi="Open Sans" w:cs="Open Sans"/>
          <w:b/>
          <w:bCs/>
          <w:sz w:val="36"/>
          <w:szCs w:val="36"/>
        </w:rPr>
        <w:t>Überschreitung der Notwehr</w:t>
      </w:r>
    </w:p>
    <w:bookmarkEnd w:id="0"/>
    <w:p w14:paraId="7F0B144B" w14:textId="77777777" w:rsidR="00DD4444" w:rsidRPr="00522A4E" w:rsidRDefault="00DD4444" w:rsidP="00DD4444">
      <w:pPr>
        <w:pStyle w:val="SchemaDefinitionenHeader"/>
      </w:pPr>
      <w:r w:rsidRPr="00522A4E">
        <w:t>Definitionen</w:t>
      </w:r>
    </w:p>
    <w:p w14:paraId="671672C3" w14:textId="77777777" w:rsidR="00DD4444" w:rsidRPr="00522A4E" w:rsidRDefault="00DD4444" w:rsidP="00DD4444">
      <w:pPr>
        <w:pStyle w:val="SchemaDefinitionenHeader"/>
        <w:rPr>
          <w:color w:val="auto"/>
        </w:rPr>
      </w:pPr>
    </w:p>
    <w:p w14:paraId="633D83DF" w14:textId="72A890A3" w:rsidR="00DD4444" w:rsidRPr="00522A4E" w:rsidRDefault="00DD4444" w:rsidP="00DD4444">
      <w:pPr>
        <w:pStyle w:val="SchemaDefinitionenHeader"/>
        <w:rPr>
          <w:color w:val="auto"/>
        </w:rPr>
      </w:pPr>
      <w:r>
        <w:rPr>
          <w:color w:val="auto"/>
        </w:rPr>
        <w:t>Angriff</w:t>
      </w:r>
      <w:r w:rsidR="00CF6272">
        <w:rPr>
          <w:color w:val="auto"/>
        </w:rPr>
        <w:t xml:space="preserve"> </w:t>
      </w:r>
      <w:r w:rsidR="00CF6272" w:rsidRPr="00CF6272">
        <w:rPr>
          <w:color w:val="auto"/>
          <w:highlight w:val="yellow"/>
        </w:rPr>
        <w:t>schon in 32</w:t>
      </w:r>
    </w:p>
    <w:p w14:paraId="49F8E478" w14:textId="77777777" w:rsidR="00DD4444" w:rsidRDefault="00DD4444" w:rsidP="00DD4444">
      <w:pPr>
        <w:pStyle w:val="SchemaDefinitionenHeader"/>
        <w:ind w:left="2124"/>
        <w:rPr>
          <w:color w:val="auto"/>
        </w:rPr>
      </w:pPr>
      <w:r>
        <w:rPr>
          <w:color w:val="auto"/>
        </w:rPr>
        <w:t>Jede durch menschliches (!) Verhalten drohende Verletzung rechtlich geschützter Interessen.</w:t>
      </w:r>
    </w:p>
    <w:p w14:paraId="6C619CFE" w14:textId="77777777" w:rsidR="00DD4444" w:rsidRPr="00522A4E" w:rsidRDefault="00DD4444" w:rsidP="00DD4444">
      <w:pPr>
        <w:pStyle w:val="SchemaDefinitionenHeader"/>
        <w:rPr>
          <w:color w:val="auto"/>
        </w:rPr>
      </w:pPr>
    </w:p>
    <w:p w14:paraId="77D0AE76" w14:textId="1DEBD3BE" w:rsidR="00DD4444" w:rsidRDefault="00DD4444" w:rsidP="00DD4444">
      <w:pPr>
        <w:pStyle w:val="SchemaDefinitionenHeader"/>
        <w:rPr>
          <w:color w:val="auto"/>
        </w:rPr>
      </w:pPr>
      <w:r>
        <w:rPr>
          <w:color w:val="auto"/>
        </w:rPr>
        <w:t>Gegenwärtig</w:t>
      </w:r>
      <w:r w:rsidR="00CF6272">
        <w:rPr>
          <w:color w:val="auto"/>
        </w:rPr>
        <w:t xml:space="preserve"> </w:t>
      </w:r>
      <w:r w:rsidR="00CF6272" w:rsidRPr="00CF6272">
        <w:rPr>
          <w:color w:val="auto"/>
          <w:highlight w:val="yellow"/>
        </w:rPr>
        <w:t>schon in 32</w:t>
      </w:r>
    </w:p>
    <w:p w14:paraId="1BC1DE2E" w14:textId="77777777" w:rsidR="00DD4444" w:rsidRDefault="00DD4444" w:rsidP="00DD4444">
      <w:pPr>
        <w:pStyle w:val="SchemaDefinitionenHeader"/>
        <w:ind w:left="2124"/>
        <w:rPr>
          <w:color w:val="auto"/>
        </w:rPr>
      </w:pPr>
      <w:r>
        <w:rPr>
          <w:color w:val="auto"/>
        </w:rPr>
        <w:t xml:space="preserve">Ein Angriff ist </w:t>
      </w:r>
      <w:r w:rsidRPr="00DD4444">
        <w:rPr>
          <w:i/>
          <w:iCs/>
          <w:color w:val="auto"/>
        </w:rPr>
        <w:t>gegenwärtig</w:t>
      </w:r>
      <w:r>
        <w:rPr>
          <w:color w:val="auto"/>
        </w:rPr>
        <w:t>, wenn die Verletzung unmittelbar bevorsteht, begonnen hat oder noch nicht abgeschlossen ist.</w:t>
      </w:r>
    </w:p>
    <w:p w14:paraId="7775412E" w14:textId="77777777" w:rsidR="00DD4444" w:rsidRDefault="00DD4444" w:rsidP="00DD4444">
      <w:pPr>
        <w:pStyle w:val="SchemaDefinitionenHeader"/>
        <w:rPr>
          <w:color w:val="auto"/>
        </w:rPr>
      </w:pPr>
    </w:p>
    <w:p w14:paraId="685283EF" w14:textId="1E21E06F" w:rsidR="00DD4444" w:rsidRDefault="00DD4444" w:rsidP="00DD4444">
      <w:pPr>
        <w:pStyle w:val="SchemaDefinitionenHeader"/>
        <w:rPr>
          <w:color w:val="auto"/>
        </w:rPr>
      </w:pPr>
      <w:r>
        <w:rPr>
          <w:color w:val="auto"/>
        </w:rPr>
        <w:t>Rechtswidrig</w:t>
      </w:r>
      <w:r w:rsidR="00CF6272">
        <w:rPr>
          <w:color w:val="auto"/>
        </w:rPr>
        <w:t xml:space="preserve"> </w:t>
      </w:r>
      <w:r w:rsidR="00CF6272" w:rsidRPr="00CF6272">
        <w:rPr>
          <w:color w:val="auto"/>
          <w:highlight w:val="yellow"/>
        </w:rPr>
        <w:t>schon in 32</w:t>
      </w:r>
    </w:p>
    <w:p w14:paraId="409C5C57" w14:textId="77777777" w:rsidR="00DD4444" w:rsidRDefault="00DD4444" w:rsidP="00DD4444">
      <w:pPr>
        <w:pStyle w:val="SchemaDefinitionenHeader"/>
        <w:ind w:left="2124"/>
        <w:rPr>
          <w:color w:val="auto"/>
        </w:rPr>
      </w:pPr>
      <w:r>
        <w:rPr>
          <w:color w:val="auto"/>
        </w:rPr>
        <w:t xml:space="preserve">Ein Angriff ist </w:t>
      </w:r>
      <w:r w:rsidRPr="00DD4444">
        <w:rPr>
          <w:i/>
          <w:iCs/>
          <w:color w:val="auto"/>
        </w:rPr>
        <w:t>rechtswidrig</w:t>
      </w:r>
      <w:r>
        <w:rPr>
          <w:color w:val="auto"/>
        </w:rPr>
        <w:t>, wenn er nicht durch Rechtfertigungsgründe gedeckt ist.</w:t>
      </w:r>
    </w:p>
    <w:p w14:paraId="498F3A64" w14:textId="77777777" w:rsidR="00DD4444" w:rsidRDefault="00DD4444" w:rsidP="00DD4444">
      <w:pPr>
        <w:pStyle w:val="SchemaDefinitionenHeader"/>
        <w:rPr>
          <w:color w:val="auto"/>
        </w:rPr>
      </w:pPr>
    </w:p>
    <w:p w14:paraId="16BFDE6E" w14:textId="1AAF480B" w:rsidR="00DD4444" w:rsidRDefault="00DD4444" w:rsidP="00DD4444">
      <w:pPr>
        <w:pStyle w:val="SchemaDefinitionenHeader"/>
        <w:rPr>
          <w:color w:val="auto"/>
        </w:rPr>
      </w:pPr>
      <w:r>
        <w:rPr>
          <w:color w:val="auto"/>
        </w:rPr>
        <w:t>Erforderlich</w:t>
      </w:r>
      <w:r w:rsidR="00CF6272">
        <w:rPr>
          <w:color w:val="auto"/>
        </w:rPr>
        <w:t xml:space="preserve"> </w:t>
      </w:r>
      <w:r w:rsidR="00CF6272" w:rsidRPr="00CF6272">
        <w:rPr>
          <w:color w:val="auto"/>
          <w:highlight w:val="yellow"/>
        </w:rPr>
        <w:t>schon in 32</w:t>
      </w:r>
    </w:p>
    <w:p w14:paraId="59C4DC1B" w14:textId="77777777" w:rsidR="00DD4444" w:rsidRDefault="00DD4444" w:rsidP="00DD4444">
      <w:pPr>
        <w:pStyle w:val="SchemaDefinitionenHeader"/>
        <w:ind w:left="2124"/>
        <w:rPr>
          <w:iCs/>
          <w:color w:val="auto"/>
        </w:rPr>
      </w:pPr>
      <w:r>
        <w:rPr>
          <w:iCs/>
          <w:color w:val="auto"/>
        </w:rPr>
        <w:t xml:space="preserve">Eine Handlung ist dann </w:t>
      </w:r>
      <w:r w:rsidRPr="00DD4444">
        <w:rPr>
          <w:i/>
          <w:iCs/>
          <w:color w:val="auto"/>
        </w:rPr>
        <w:t>erforderlich</w:t>
      </w:r>
      <w:r>
        <w:rPr>
          <w:iCs/>
          <w:color w:val="auto"/>
        </w:rPr>
        <w:t>, wenn sie zum einen geeignet ist den Angriff zu beenden und unter mehreren gleichwirksamen Möglichkeiten diejenige ist, die den geringsten Schaden anrichtet.</w:t>
      </w:r>
    </w:p>
    <w:p w14:paraId="703CCFD9" w14:textId="77777777" w:rsidR="00DD4444" w:rsidRDefault="00DD4444" w:rsidP="00DD4444">
      <w:pPr>
        <w:pStyle w:val="SchemaDefinitionenHeader"/>
        <w:rPr>
          <w:bCs/>
          <w:color w:val="auto"/>
        </w:rPr>
      </w:pPr>
    </w:p>
    <w:p w14:paraId="67FEA214" w14:textId="26AE7579" w:rsidR="00DD4444" w:rsidRDefault="00DD4444" w:rsidP="00DD4444">
      <w:pPr>
        <w:pStyle w:val="SchemaDefinitionenHeader"/>
        <w:rPr>
          <w:color w:val="auto"/>
        </w:rPr>
      </w:pPr>
      <w:r>
        <w:rPr>
          <w:color w:val="auto"/>
        </w:rPr>
        <w:t>Gebotenheit</w:t>
      </w:r>
      <w:r w:rsidR="00CF6272">
        <w:rPr>
          <w:color w:val="auto"/>
        </w:rPr>
        <w:t xml:space="preserve"> </w:t>
      </w:r>
      <w:r w:rsidR="00CF6272" w:rsidRPr="00CF6272">
        <w:rPr>
          <w:color w:val="auto"/>
          <w:highlight w:val="yellow"/>
        </w:rPr>
        <w:t>schon in 32</w:t>
      </w:r>
    </w:p>
    <w:p w14:paraId="2E9CC8FC" w14:textId="77777777" w:rsidR="00DD4444" w:rsidRPr="004D7821" w:rsidRDefault="00DD4444" w:rsidP="00DD4444">
      <w:pPr>
        <w:pStyle w:val="SchemaDefinitionenHeader"/>
        <w:ind w:left="2124"/>
        <w:rPr>
          <w:color w:val="auto"/>
        </w:rPr>
      </w:pPr>
      <w:r w:rsidRPr="004D7821">
        <w:rPr>
          <w:color w:val="auto"/>
        </w:rPr>
        <w:t xml:space="preserve">Eine Verteidigungshandlung ist dann nicht </w:t>
      </w:r>
      <w:r w:rsidRPr="00DD4444">
        <w:rPr>
          <w:i/>
          <w:iCs/>
          <w:color w:val="auto"/>
        </w:rPr>
        <w:t>geboten,</w:t>
      </w:r>
      <w:r w:rsidRPr="004D7821">
        <w:rPr>
          <w:color w:val="auto"/>
        </w:rPr>
        <w:t xml:space="preserve"> wenn sie aus sozial-ethischen Gründen eingeschränkt werden muss.</w:t>
      </w:r>
    </w:p>
    <w:p w14:paraId="4FD73EB7" w14:textId="77777777" w:rsidR="00DD4444" w:rsidRDefault="00DD4444" w:rsidP="00DD4444">
      <w:pPr>
        <w:pStyle w:val="SchemaDefinitionenHeader"/>
        <w:rPr>
          <w:color w:val="auto"/>
        </w:rPr>
      </w:pPr>
    </w:p>
    <w:p w14:paraId="0F8DE426" w14:textId="01C2158C" w:rsidR="00DD4444" w:rsidRDefault="00DD4444" w:rsidP="00DD4444">
      <w:pPr>
        <w:pStyle w:val="SchemaDefinitionenHeader"/>
        <w:rPr>
          <w:color w:val="auto"/>
        </w:rPr>
      </w:pPr>
      <w:r>
        <w:rPr>
          <w:color w:val="auto"/>
        </w:rPr>
        <w:t>Verteidigungswille</w:t>
      </w:r>
      <w:r w:rsidR="00CF6272">
        <w:rPr>
          <w:color w:val="auto"/>
        </w:rPr>
        <w:t xml:space="preserve"> </w:t>
      </w:r>
      <w:r w:rsidR="00CF6272" w:rsidRPr="00CF6272">
        <w:rPr>
          <w:color w:val="auto"/>
          <w:highlight w:val="yellow"/>
        </w:rPr>
        <w:t>schon in 32</w:t>
      </w:r>
    </w:p>
    <w:p w14:paraId="51764E56" w14:textId="77777777" w:rsidR="00DD4444" w:rsidRPr="00902312" w:rsidRDefault="00DD4444" w:rsidP="00DD4444">
      <w:pPr>
        <w:pStyle w:val="SchemaDefinitionenHeader"/>
        <w:ind w:left="2124" w:firstLine="6"/>
        <w:rPr>
          <w:color w:val="auto"/>
        </w:rPr>
      </w:pPr>
      <w:r w:rsidRPr="006A2273">
        <w:rPr>
          <w:color w:val="auto"/>
        </w:rPr>
        <w:t>Der Verteidiger muss in Kenntnis und aufgrund der Notwehrlage handeln</w:t>
      </w:r>
      <w:r>
        <w:rPr>
          <w:color w:val="auto"/>
        </w:rPr>
        <w:t>.</w:t>
      </w:r>
    </w:p>
    <w:p w14:paraId="42A80C7D" w14:textId="77777777" w:rsidR="00DD4444" w:rsidRDefault="00DD4444" w:rsidP="00DD4444">
      <w:pPr>
        <w:jc w:val="both"/>
        <w:rPr>
          <w:rFonts w:ascii="Open Sans" w:hAnsi="Open Sans" w:cs="Open Sans"/>
          <w:bCs/>
        </w:rPr>
      </w:pPr>
    </w:p>
    <w:p w14:paraId="43F3E9AE" w14:textId="77777777" w:rsidR="00DD4444" w:rsidRPr="00243D99" w:rsidRDefault="00DD4444" w:rsidP="00DD4444">
      <w:pPr>
        <w:pStyle w:val="SchemaDefinitionenHeader"/>
        <w:rPr>
          <w:iCs/>
          <w:color w:val="auto"/>
        </w:rPr>
      </w:pPr>
      <w:r w:rsidRPr="00243D99">
        <w:rPr>
          <w:iCs/>
          <w:color w:val="auto"/>
        </w:rPr>
        <w:t>Intensiver Notwehrexzess</w:t>
      </w:r>
    </w:p>
    <w:p w14:paraId="0671712C" w14:textId="7D0FBDCA" w:rsidR="00DD4444" w:rsidRPr="00BE739A" w:rsidRDefault="00186721" w:rsidP="00BE739A">
      <w:pPr>
        <w:pStyle w:val="SchemaDefinitionenHeader"/>
        <w:ind w:left="2124"/>
        <w:rPr>
          <w:iCs/>
          <w:color w:val="auto"/>
        </w:rPr>
      </w:pPr>
      <w:r>
        <w:rPr>
          <w:iCs/>
          <w:color w:val="auto"/>
        </w:rPr>
        <w:t xml:space="preserve">Der </w:t>
      </w:r>
      <w:r w:rsidRPr="00186721">
        <w:rPr>
          <w:i/>
          <w:iCs/>
          <w:color w:val="auto"/>
        </w:rPr>
        <w:t>intensive Notwehrexzess</w:t>
      </w:r>
      <w:r>
        <w:rPr>
          <w:iCs/>
          <w:color w:val="auto"/>
        </w:rPr>
        <w:t xml:space="preserve"> ist dadurch gekennzeichnet, dass der Rahmen der Erforderlichkeit oder Gebotenheit überschritten wurde.</w:t>
      </w:r>
    </w:p>
    <w:p w14:paraId="490F4D5F" w14:textId="77777777" w:rsidR="00DD4444" w:rsidRPr="00243D99" w:rsidRDefault="00DD4444" w:rsidP="00DD4444">
      <w:pPr>
        <w:pStyle w:val="SchemaDefinitionenHeader"/>
        <w:rPr>
          <w:iCs/>
          <w:color w:val="auto"/>
        </w:rPr>
      </w:pPr>
      <w:r w:rsidRPr="00243D99">
        <w:rPr>
          <w:iCs/>
          <w:color w:val="auto"/>
        </w:rPr>
        <w:lastRenderedPageBreak/>
        <w:t>Extensiver Notwehrexzess</w:t>
      </w:r>
    </w:p>
    <w:p w14:paraId="5EAB00B6" w14:textId="1D60A7DC" w:rsidR="007676EE" w:rsidRDefault="007676EE" w:rsidP="00E73B21">
      <w:pPr>
        <w:pStyle w:val="SchemaDefinitionenHeader"/>
        <w:ind w:left="2124"/>
        <w:rPr>
          <w:iCs/>
          <w:color w:val="auto"/>
        </w:rPr>
      </w:pPr>
      <w:r w:rsidRPr="007204B9">
        <w:rPr>
          <w:iCs/>
          <w:color w:val="auto"/>
        </w:rPr>
        <w:t xml:space="preserve">Der </w:t>
      </w:r>
      <w:r w:rsidRPr="007204B9">
        <w:rPr>
          <w:i/>
          <w:color w:val="auto"/>
        </w:rPr>
        <w:t>extensive Notwehrexzess</w:t>
      </w:r>
      <w:r w:rsidRPr="007204B9">
        <w:rPr>
          <w:iCs/>
          <w:color w:val="auto"/>
        </w:rPr>
        <w:t xml:space="preserve"> ist dadurch gekennzeichnet, dass keine Notwehrlage (mehr) gegeben ist, der Verteidigende also die zeitlichen Grenzen der Notwehrlage verkennt. Der Angriff des Täters ist nicht mehr gegenwärtig (nachzeitiger Notwehrexzess) oder noch nicht gegenwärtig (vorzeitiger Notwehrexzess).</w:t>
      </w:r>
    </w:p>
    <w:p w14:paraId="1484E7B5" w14:textId="77777777" w:rsidR="00DD4444" w:rsidRDefault="00DD4444" w:rsidP="00DD4444">
      <w:pPr>
        <w:jc w:val="both"/>
        <w:rPr>
          <w:rFonts w:ascii="Open Sans" w:hAnsi="Open Sans" w:cs="Open Sans"/>
          <w:bCs/>
        </w:rPr>
      </w:pPr>
    </w:p>
    <w:p w14:paraId="49B9C7F8" w14:textId="77777777" w:rsidR="00DD4444" w:rsidRPr="00243D99" w:rsidRDefault="00DD4444" w:rsidP="00DD4444">
      <w:pPr>
        <w:pStyle w:val="SchemaDefinitionenHeader"/>
        <w:rPr>
          <w:color w:val="auto"/>
        </w:rPr>
      </w:pPr>
      <w:r w:rsidRPr="00243D99">
        <w:rPr>
          <w:color w:val="auto"/>
        </w:rPr>
        <w:t>Asthenische Affekte</w:t>
      </w:r>
    </w:p>
    <w:p w14:paraId="77395E4A" w14:textId="180F1BE6" w:rsidR="00DD4444" w:rsidRDefault="00DD4444" w:rsidP="00E73B21">
      <w:pPr>
        <w:pStyle w:val="SchemaDefinitionenHeader"/>
        <w:ind w:left="2124"/>
        <w:rPr>
          <w:color w:val="auto"/>
        </w:rPr>
      </w:pPr>
      <w:r>
        <w:rPr>
          <w:color w:val="auto"/>
        </w:rPr>
        <w:t xml:space="preserve">Der Verteidigende handelt aus Verwirrung, Furcht oder Schrecken (sog. </w:t>
      </w:r>
      <w:r w:rsidRPr="00186721">
        <w:rPr>
          <w:i/>
          <w:color w:val="auto"/>
        </w:rPr>
        <w:t>asthenische Affekte</w:t>
      </w:r>
      <w:r>
        <w:rPr>
          <w:color w:val="auto"/>
        </w:rPr>
        <w:t>).</w:t>
      </w:r>
      <w:r w:rsidR="00BE739A">
        <w:rPr>
          <w:color w:val="auto"/>
        </w:rPr>
        <w:t xml:space="preserve"> </w:t>
      </w:r>
    </w:p>
    <w:p w14:paraId="6EE33DFB" w14:textId="77777777" w:rsidR="00DD4444" w:rsidRDefault="00DD4444" w:rsidP="00DD4444">
      <w:pPr>
        <w:jc w:val="both"/>
        <w:rPr>
          <w:rFonts w:ascii="Open Sans" w:hAnsi="Open Sans" w:cs="Open Sans"/>
          <w:bCs/>
        </w:rPr>
      </w:pPr>
    </w:p>
    <w:p w14:paraId="1ECDC530" w14:textId="77777777" w:rsidR="00DD4444" w:rsidRDefault="00DD4444" w:rsidP="00DD4444">
      <w:pPr>
        <w:jc w:val="both"/>
        <w:rPr>
          <w:rFonts w:ascii="Open Sans" w:hAnsi="Open Sans" w:cs="Open Sans"/>
          <w:bCs/>
        </w:rPr>
      </w:pPr>
      <w:r>
        <w:rPr>
          <w:rFonts w:ascii="Open Sans" w:hAnsi="Open Sans" w:cs="Open Sans"/>
          <w:bCs/>
        </w:rPr>
        <w:t>Sthenische Affekte</w:t>
      </w:r>
    </w:p>
    <w:p w14:paraId="571297C8" w14:textId="77777777" w:rsidR="00DD4444" w:rsidRDefault="00DD4444" w:rsidP="00E73B21">
      <w:pPr>
        <w:pStyle w:val="SchemaDefinitionenHeader"/>
        <w:ind w:left="2124"/>
        <w:rPr>
          <w:color w:val="auto"/>
        </w:rPr>
      </w:pPr>
      <w:r>
        <w:rPr>
          <w:color w:val="auto"/>
        </w:rPr>
        <w:t>Nicht erfasst von den subjektiven Voraussetzungen des § 33 StGB sind z.B. Zorn, Verwirrung, Furcht (</w:t>
      </w:r>
      <w:r w:rsidRPr="00186721">
        <w:rPr>
          <w:i/>
          <w:color w:val="auto"/>
        </w:rPr>
        <w:t>sthenische Affekte</w:t>
      </w:r>
      <w:r>
        <w:rPr>
          <w:color w:val="auto"/>
        </w:rPr>
        <w:t>).</w:t>
      </w:r>
    </w:p>
    <w:p w14:paraId="7F55A939" w14:textId="77777777" w:rsidR="00DD4444" w:rsidRDefault="00DD4444" w:rsidP="00DD4444">
      <w:pPr>
        <w:jc w:val="both"/>
        <w:rPr>
          <w:rFonts w:ascii="Open Sans" w:hAnsi="Open Sans" w:cs="Open Sans"/>
          <w:bCs/>
        </w:rPr>
      </w:pPr>
    </w:p>
    <w:p w14:paraId="1449DA2F" w14:textId="77777777" w:rsidR="00DD4444" w:rsidRDefault="00DD4444" w:rsidP="00DD4444">
      <w:pPr>
        <w:jc w:val="both"/>
        <w:rPr>
          <w:rFonts w:ascii="Open Sans" w:hAnsi="Open Sans" w:cs="Open Sans"/>
          <w:bCs/>
        </w:rPr>
      </w:pPr>
      <w:r>
        <w:rPr>
          <w:rFonts w:ascii="Open Sans" w:hAnsi="Open Sans" w:cs="Open Sans"/>
          <w:bCs/>
        </w:rPr>
        <w:t>Putativnotwehrexzess</w:t>
      </w:r>
    </w:p>
    <w:p w14:paraId="7043F4E5" w14:textId="77777777" w:rsidR="00DD4444" w:rsidRDefault="00DD4444" w:rsidP="00E73B21">
      <w:pPr>
        <w:pStyle w:val="SchemaDefinitionenHeader"/>
        <w:ind w:left="2124"/>
        <w:rPr>
          <w:color w:val="auto"/>
        </w:rPr>
      </w:pPr>
      <w:r>
        <w:rPr>
          <w:color w:val="auto"/>
        </w:rPr>
        <w:t>Der Täter überschreitet die Grenzen der Notwehr bei nur lediglich angenommener Notwehrlage.</w:t>
      </w:r>
    </w:p>
    <w:p w14:paraId="7A16DB64" w14:textId="77777777" w:rsidR="00DD4444" w:rsidRDefault="00DD4444" w:rsidP="00DD4444">
      <w:pPr>
        <w:jc w:val="both"/>
        <w:rPr>
          <w:rFonts w:ascii="Open Sans" w:hAnsi="Open Sans" w:cs="Open Sans"/>
          <w:bCs/>
        </w:rPr>
      </w:pPr>
    </w:p>
    <w:p w14:paraId="59EB823D" w14:textId="77777777" w:rsidR="00DD4444" w:rsidRDefault="00DD4444" w:rsidP="00DD4444">
      <w:pPr>
        <w:jc w:val="both"/>
        <w:rPr>
          <w:rFonts w:ascii="Open Sans" w:hAnsi="Open Sans" w:cs="Open Sans"/>
          <w:bCs/>
        </w:rPr>
      </w:pPr>
    </w:p>
    <w:p w14:paraId="3AF04231" w14:textId="77777777" w:rsidR="00DD4444" w:rsidRDefault="00DD4444" w:rsidP="00DD4444">
      <w:pPr>
        <w:jc w:val="both"/>
        <w:rPr>
          <w:rFonts w:ascii="Open Sans" w:hAnsi="Open Sans" w:cs="Open Sans"/>
          <w:bCs/>
        </w:rPr>
      </w:pPr>
      <w:r>
        <w:rPr>
          <w:rFonts w:ascii="Open Sans" w:hAnsi="Open Sans" w:cs="Open Sans"/>
          <w:bCs/>
        </w:rPr>
        <w:t>Quellen:</w:t>
      </w:r>
    </w:p>
    <w:p w14:paraId="2E281816" w14:textId="77777777" w:rsidR="00DD4444" w:rsidRDefault="00DD4444" w:rsidP="00DD4444">
      <w:pPr>
        <w:jc w:val="both"/>
        <w:rPr>
          <w:rFonts w:ascii="Open Sans" w:hAnsi="Open Sans" w:cs="Open Sans"/>
          <w:bCs/>
        </w:rPr>
      </w:pPr>
      <w:r w:rsidRPr="00243D99">
        <w:rPr>
          <w:rFonts w:ascii="Open Sans" w:hAnsi="Open Sans" w:cs="Open Sans"/>
          <w:bCs/>
        </w:rPr>
        <w:t xml:space="preserve">Fischer, 67. Aufl. 2020, § 33 </w:t>
      </w:r>
      <w:proofErr w:type="spellStart"/>
      <w:r w:rsidRPr="00243D99">
        <w:rPr>
          <w:rFonts w:ascii="Open Sans" w:hAnsi="Open Sans" w:cs="Open Sans"/>
          <w:bCs/>
        </w:rPr>
        <w:t>Rn</w:t>
      </w:r>
      <w:proofErr w:type="spellEnd"/>
      <w:r w:rsidRPr="00243D99">
        <w:rPr>
          <w:rFonts w:ascii="Open Sans" w:hAnsi="Open Sans" w:cs="Open Sans"/>
          <w:bCs/>
        </w:rPr>
        <w:t>. 2 ff.</w:t>
      </w:r>
    </w:p>
    <w:p w14:paraId="5330C601" w14:textId="77777777" w:rsidR="00DD4444" w:rsidRDefault="00DD4444" w:rsidP="00DD4444">
      <w:pPr>
        <w:jc w:val="both"/>
        <w:rPr>
          <w:rFonts w:ascii="Open Sans" w:hAnsi="Open Sans" w:cs="Open Sans"/>
          <w:bCs/>
        </w:rPr>
      </w:pPr>
    </w:p>
    <w:p w14:paraId="1128EF2E" w14:textId="77777777" w:rsidR="00DD4444" w:rsidRDefault="00DD4444" w:rsidP="00DD4444"/>
    <w:p w14:paraId="6A6C70E1" w14:textId="77777777" w:rsidR="00DD4444" w:rsidRPr="00D037BE" w:rsidRDefault="00DD4444" w:rsidP="00DD4444"/>
    <w:p w14:paraId="6C8ABDDD" w14:textId="0CA3EA1D" w:rsidR="00136845" w:rsidRPr="00DD4444" w:rsidRDefault="00136845" w:rsidP="00DD4444"/>
    <w:sectPr w:rsidR="00136845" w:rsidRPr="00DD444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3C65F" w14:textId="77777777" w:rsidR="00DC2826" w:rsidRDefault="00DC2826" w:rsidP="0041069B">
      <w:pPr>
        <w:spacing w:after="0" w:line="240" w:lineRule="auto"/>
      </w:pPr>
      <w:r>
        <w:separator/>
      </w:r>
    </w:p>
  </w:endnote>
  <w:endnote w:type="continuationSeparator" w:id="0">
    <w:p w14:paraId="7F9A4925" w14:textId="77777777" w:rsidR="00DC2826" w:rsidRDefault="00DC2826"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27EF6" w14:textId="77777777" w:rsidR="00DA1EAE" w:rsidRDefault="00DA1E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1" w:name="_Hlk64808829"/>
        <w:bookmarkStart w:id="2"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7E9961CB"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1"/>
    <w:bookmarkEnd w:id="2"/>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458B" w14:textId="77777777" w:rsidR="00DA1EAE" w:rsidRDefault="00DA1E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9A94B" w14:textId="77777777" w:rsidR="00DC2826" w:rsidRDefault="00DC2826" w:rsidP="0041069B">
      <w:pPr>
        <w:spacing w:after="0" w:line="240" w:lineRule="auto"/>
      </w:pPr>
      <w:r>
        <w:separator/>
      </w:r>
    </w:p>
  </w:footnote>
  <w:footnote w:type="continuationSeparator" w:id="0">
    <w:p w14:paraId="6F3AB7BE" w14:textId="77777777" w:rsidR="00DC2826" w:rsidRDefault="00DC2826"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C982" w14:textId="77777777" w:rsidR="00DA1EAE" w:rsidRDefault="00DA1EA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CEC1" w14:textId="77777777" w:rsidR="00DA1EAE" w:rsidRDefault="00DA1E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35034849">
    <w:abstractNumId w:val="19"/>
  </w:num>
  <w:num w:numId="2" w16cid:durableId="259413106">
    <w:abstractNumId w:val="4"/>
  </w:num>
  <w:num w:numId="3" w16cid:durableId="929316835">
    <w:abstractNumId w:val="6"/>
  </w:num>
  <w:num w:numId="4" w16cid:durableId="915474281">
    <w:abstractNumId w:val="21"/>
  </w:num>
  <w:num w:numId="5" w16cid:durableId="1006787872">
    <w:abstractNumId w:val="24"/>
  </w:num>
  <w:num w:numId="6" w16cid:durableId="212619007">
    <w:abstractNumId w:val="13"/>
  </w:num>
  <w:num w:numId="7" w16cid:durableId="652294207">
    <w:abstractNumId w:val="10"/>
  </w:num>
  <w:num w:numId="8" w16cid:durableId="1596596728">
    <w:abstractNumId w:val="16"/>
  </w:num>
  <w:num w:numId="9" w16cid:durableId="1255361071">
    <w:abstractNumId w:val="20"/>
  </w:num>
  <w:num w:numId="10" w16cid:durableId="557742522">
    <w:abstractNumId w:val="11"/>
  </w:num>
  <w:num w:numId="11" w16cid:durableId="191841759">
    <w:abstractNumId w:val="23"/>
  </w:num>
  <w:num w:numId="12" w16cid:durableId="324675487">
    <w:abstractNumId w:val="12"/>
  </w:num>
  <w:num w:numId="13" w16cid:durableId="1018049223">
    <w:abstractNumId w:val="22"/>
  </w:num>
  <w:num w:numId="14" w16cid:durableId="669721605">
    <w:abstractNumId w:val="17"/>
  </w:num>
  <w:num w:numId="15" w16cid:durableId="144012880">
    <w:abstractNumId w:val="9"/>
  </w:num>
  <w:num w:numId="16" w16cid:durableId="1886674334">
    <w:abstractNumId w:val="0"/>
  </w:num>
  <w:num w:numId="17" w16cid:durableId="989820426">
    <w:abstractNumId w:val="14"/>
  </w:num>
  <w:num w:numId="18" w16cid:durableId="244458778">
    <w:abstractNumId w:val="2"/>
  </w:num>
  <w:num w:numId="19" w16cid:durableId="986664496">
    <w:abstractNumId w:val="15"/>
  </w:num>
  <w:num w:numId="20" w16cid:durableId="1197693049">
    <w:abstractNumId w:val="3"/>
  </w:num>
  <w:num w:numId="21" w16cid:durableId="598562928">
    <w:abstractNumId w:val="8"/>
  </w:num>
  <w:num w:numId="22" w16cid:durableId="1136801753">
    <w:abstractNumId w:val="1"/>
  </w:num>
  <w:num w:numId="23" w16cid:durableId="1652825796">
    <w:abstractNumId w:val="7"/>
  </w:num>
  <w:num w:numId="24" w16cid:durableId="1887371351">
    <w:abstractNumId w:val="18"/>
  </w:num>
  <w:num w:numId="25" w16cid:durableId="1251616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10748A"/>
    <w:rsid w:val="00123860"/>
    <w:rsid w:val="00136845"/>
    <w:rsid w:val="0017497A"/>
    <w:rsid w:val="00185932"/>
    <w:rsid w:val="00186721"/>
    <w:rsid w:val="00192777"/>
    <w:rsid w:val="002230EF"/>
    <w:rsid w:val="00241692"/>
    <w:rsid w:val="002577DC"/>
    <w:rsid w:val="00257A0B"/>
    <w:rsid w:val="002636E3"/>
    <w:rsid w:val="002877FF"/>
    <w:rsid w:val="00295E1E"/>
    <w:rsid w:val="0032738C"/>
    <w:rsid w:val="003316D4"/>
    <w:rsid w:val="003D5108"/>
    <w:rsid w:val="0041069B"/>
    <w:rsid w:val="00415653"/>
    <w:rsid w:val="00445655"/>
    <w:rsid w:val="00446D1C"/>
    <w:rsid w:val="004712D2"/>
    <w:rsid w:val="00473757"/>
    <w:rsid w:val="004A7925"/>
    <w:rsid w:val="004F059B"/>
    <w:rsid w:val="00511048"/>
    <w:rsid w:val="00517716"/>
    <w:rsid w:val="00522A4E"/>
    <w:rsid w:val="00574C17"/>
    <w:rsid w:val="005A1B6D"/>
    <w:rsid w:val="005A556D"/>
    <w:rsid w:val="005E2DC1"/>
    <w:rsid w:val="005F668B"/>
    <w:rsid w:val="006178E1"/>
    <w:rsid w:val="006242E8"/>
    <w:rsid w:val="00685E8F"/>
    <w:rsid w:val="00693D80"/>
    <w:rsid w:val="006B7D18"/>
    <w:rsid w:val="006D77EF"/>
    <w:rsid w:val="006E1970"/>
    <w:rsid w:val="00715314"/>
    <w:rsid w:val="00722F4A"/>
    <w:rsid w:val="00744F0C"/>
    <w:rsid w:val="00756EF3"/>
    <w:rsid w:val="00763B80"/>
    <w:rsid w:val="007676EE"/>
    <w:rsid w:val="0077736A"/>
    <w:rsid w:val="007C4C5F"/>
    <w:rsid w:val="007D1C6B"/>
    <w:rsid w:val="007D788D"/>
    <w:rsid w:val="007F54BD"/>
    <w:rsid w:val="00856EB0"/>
    <w:rsid w:val="008616A5"/>
    <w:rsid w:val="008627A7"/>
    <w:rsid w:val="008846C8"/>
    <w:rsid w:val="008953F3"/>
    <w:rsid w:val="008959AC"/>
    <w:rsid w:val="008975C9"/>
    <w:rsid w:val="008C7B6C"/>
    <w:rsid w:val="008E352C"/>
    <w:rsid w:val="008E497E"/>
    <w:rsid w:val="009A223F"/>
    <w:rsid w:val="009A7135"/>
    <w:rsid w:val="009B5901"/>
    <w:rsid w:val="00A07F0F"/>
    <w:rsid w:val="00A27345"/>
    <w:rsid w:val="00A60D0D"/>
    <w:rsid w:val="00A6156E"/>
    <w:rsid w:val="00A84793"/>
    <w:rsid w:val="00AE748B"/>
    <w:rsid w:val="00B20871"/>
    <w:rsid w:val="00B319F6"/>
    <w:rsid w:val="00B65D0D"/>
    <w:rsid w:val="00B7208C"/>
    <w:rsid w:val="00B913B7"/>
    <w:rsid w:val="00BB2365"/>
    <w:rsid w:val="00BE13DA"/>
    <w:rsid w:val="00BE739A"/>
    <w:rsid w:val="00BF386D"/>
    <w:rsid w:val="00C2164B"/>
    <w:rsid w:val="00C35596"/>
    <w:rsid w:val="00CF47F5"/>
    <w:rsid w:val="00CF6272"/>
    <w:rsid w:val="00D01277"/>
    <w:rsid w:val="00D15FA7"/>
    <w:rsid w:val="00D7007F"/>
    <w:rsid w:val="00D7592C"/>
    <w:rsid w:val="00D76651"/>
    <w:rsid w:val="00DA1EAE"/>
    <w:rsid w:val="00DC2826"/>
    <w:rsid w:val="00DD34DC"/>
    <w:rsid w:val="00DD4444"/>
    <w:rsid w:val="00DE7393"/>
    <w:rsid w:val="00E00DCA"/>
    <w:rsid w:val="00E235DB"/>
    <w:rsid w:val="00E31E5E"/>
    <w:rsid w:val="00E471C9"/>
    <w:rsid w:val="00E715C3"/>
    <w:rsid w:val="00E73B21"/>
    <w:rsid w:val="00E83168"/>
    <w:rsid w:val="00E950D0"/>
    <w:rsid w:val="00EA4BF1"/>
    <w:rsid w:val="00EE5B5C"/>
    <w:rsid w:val="00EF11AF"/>
    <w:rsid w:val="00F41C05"/>
    <w:rsid w:val="00F51C25"/>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44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9</cp:revision>
  <cp:lastPrinted>2022-02-19T09:00:00Z</cp:lastPrinted>
  <dcterms:created xsi:type="dcterms:W3CDTF">2022-02-19T13:07:00Z</dcterms:created>
  <dcterms:modified xsi:type="dcterms:W3CDTF">2022-11-17T09:52:00Z</dcterms:modified>
</cp:coreProperties>
</file>