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E738" w14:textId="77777777" w:rsidR="00F86782" w:rsidRDefault="00F86782" w:rsidP="00F86782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 w:rsidRPr="00932E04">
        <w:rPr>
          <w:rFonts w:ascii="Open Sans" w:hAnsi="Open Sans" w:cs="Open Sans"/>
          <w:b/>
          <w:bCs/>
          <w:sz w:val="36"/>
          <w:szCs w:val="36"/>
        </w:rPr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33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Überschreitung der Notwehr</w:t>
      </w:r>
    </w:p>
    <w:bookmarkEnd w:id="0"/>
    <w:p w14:paraId="45E43FC9" w14:textId="5007893A" w:rsidR="00715314" w:rsidRDefault="00715314" w:rsidP="00715314">
      <w:pPr>
        <w:pStyle w:val="SchemaDefinitionenHeader"/>
      </w:pPr>
      <w:r>
        <w:t>Kurzs</w:t>
      </w:r>
      <w:r w:rsidRPr="00A90E7F">
        <w:t>chema</w:t>
      </w:r>
    </w:p>
    <w:p w14:paraId="1D18C97C" w14:textId="77777777" w:rsidR="00715314" w:rsidRDefault="00715314" w:rsidP="00715314">
      <w:pPr>
        <w:pStyle w:val="SchemaDefinitionenHeader"/>
      </w:pPr>
    </w:p>
    <w:p w14:paraId="351373B4" w14:textId="46DC5FA2" w:rsidR="00715314" w:rsidRPr="00E84766" w:rsidRDefault="00F86782" w:rsidP="00715314">
      <w:pPr>
        <w:pStyle w:val="SchemaDefinitionenHeader"/>
        <w:numPr>
          <w:ilvl w:val="0"/>
          <w:numId w:val="1"/>
        </w:numPr>
        <w:ind w:left="720"/>
        <w:rPr>
          <w:rStyle w:val="Hyperlink"/>
          <w:b/>
          <w:bCs/>
          <w:color w:val="auto"/>
          <w:sz w:val="18"/>
          <w:szCs w:val="18"/>
          <w:u w:val="none"/>
        </w:rPr>
      </w:pPr>
      <w:r w:rsidRPr="00E84766">
        <w:rPr>
          <w:b/>
          <w:bCs/>
          <w:color w:val="auto"/>
          <w:sz w:val="18"/>
          <w:szCs w:val="18"/>
        </w:rPr>
        <w:fldChar w:fldCharType="begin"/>
      </w:r>
      <w:r w:rsidRPr="00E84766">
        <w:rPr>
          <w:b/>
          <w:bCs/>
          <w:color w:val="auto"/>
          <w:sz w:val="18"/>
          <w:szCs w:val="18"/>
        </w:rPr>
        <w:instrText xml:space="preserve"> HYPERLINK  \l "TB" </w:instrText>
      </w:r>
      <w:r w:rsidRPr="00E84766">
        <w:rPr>
          <w:b/>
          <w:bCs/>
          <w:color w:val="auto"/>
          <w:sz w:val="18"/>
          <w:szCs w:val="18"/>
        </w:rPr>
        <w:fldChar w:fldCharType="separate"/>
      </w:r>
      <w:r w:rsidR="00715314" w:rsidRPr="00E84766">
        <w:rPr>
          <w:rStyle w:val="Hyperlink"/>
          <w:b/>
          <w:bCs/>
          <w:color w:val="auto"/>
          <w:sz w:val="18"/>
          <w:szCs w:val="18"/>
          <w:u w:val="none"/>
        </w:rPr>
        <w:t>Tatbestand</w:t>
      </w:r>
    </w:p>
    <w:p w14:paraId="7C468FCE" w14:textId="685DACDF" w:rsidR="00F86782" w:rsidRPr="00E84766" w:rsidRDefault="00F86782" w:rsidP="00F86782">
      <w:pPr>
        <w:pStyle w:val="SchemaDefinitionenHeader"/>
        <w:numPr>
          <w:ilvl w:val="0"/>
          <w:numId w:val="2"/>
        </w:numPr>
        <w:ind w:left="1080"/>
        <w:rPr>
          <w:rStyle w:val="Hyperlink"/>
          <w:b/>
          <w:bCs/>
          <w:color w:val="auto"/>
          <w:sz w:val="18"/>
          <w:szCs w:val="18"/>
          <w:u w:val="none"/>
        </w:rPr>
      </w:pPr>
      <w:r w:rsidRPr="00E84766">
        <w:rPr>
          <w:b/>
          <w:bCs/>
          <w:color w:val="auto"/>
          <w:sz w:val="18"/>
          <w:szCs w:val="18"/>
        </w:rPr>
        <w:fldChar w:fldCharType="end"/>
      </w:r>
      <w:r w:rsidRPr="00E84766">
        <w:rPr>
          <w:rStyle w:val="Hyperlink"/>
          <w:b/>
          <w:bCs/>
          <w:color w:val="auto"/>
          <w:sz w:val="18"/>
          <w:szCs w:val="18"/>
          <w:u w:val="none"/>
        </w:rPr>
        <w:t>Objektiver Tatbestand</w:t>
      </w:r>
    </w:p>
    <w:p w14:paraId="3A07D290" w14:textId="77777777" w:rsidR="00F86782" w:rsidRPr="00E84766" w:rsidRDefault="00F86782" w:rsidP="00F86782">
      <w:pPr>
        <w:pStyle w:val="SchemaDefinitionenHeader"/>
        <w:numPr>
          <w:ilvl w:val="0"/>
          <w:numId w:val="2"/>
        </w:numPr>
        <w:ind w:left="1080"/>
        <w:rPr>
          <w:rStyle w:val="Hyperlink"/>
          <w:b/>
          <w:bCs/>
          <w:color w:val="auto"/>
          <w:sz w:val="18"/>
          <w:szCs w:val="18"/>
          <w:u w:val="none"/>
        </w:rPr>
      </w:pPr>
      <w:r w:rsidRPr="00E84766">
        <w:rPr>
          <w:rStyle w:val="Hyperlink"/>
          <w:b/>
          <w:bCs/>
          <w:color w:val="auto"/>
          <w:sz w:val="18"/>
          <w:szCs w:val="18"/>
          <w:u w:val="none"/>
        </w:rPr>
        <w:t>Subjektiver Tatbestand</w:t>
      </w:r>
    </w:p>
    <w:p w14:paraId="44D6B766" w14:textId="39FCB1D3" w:rsidR="00F86782" w:rsidRPr="00E84766" w:rsidRDefault="00000000" w:rsidP="00715314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hyperlink w:anchor="RW" w:history="1">
        <w:r w:rsidR="00F86782" w:rsidRPr="00E84766">
          <w:rPr>
            <w:rStyle w:val="Hyperlink"/>
            <w:b/>
            <w:bCs/>
            <w:color w:val="auto"/>
            <w:sz w:val="18"/>
            <w:szCs w:val="18"/>
            <w:u w:val="none"/>
          </w:rPr>
          <w:t>Rechtswidrigkeit</w:t>
        </w:r>
      </w:hyperlink>
    </w:p>
    <w:p w14:paraId="55E06819" w14:textId="1F770693" w:rsidR="00F86782" w:rsidRPr="00E84766" w:rsidRDefault="00000000" w:rsidP="00715314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hyperlink w:anchor="Schuld" w:history="1">
        <w:r w:rsidR="00F86782" w:rsidRPr="00E84766">
          <w:rPr>
            <w:rStyle w:val="Hyperlink"/>
            <w:b/>
            <w:bCs/>
            <w:color w:val="auto"/>
            <w:sz w:val="18"/>
            <w:szCs w:val="18"/>
            <w:u w:val="none"/>
          </w:rPr>
          <w:t>Schuld</w:t>
        </w:r>
      </w:hyperlink>
    </w:p>
    <w:p w14:paraId="38AF854E" w14:textId="426D9F14" w:rsidR="00F86782" w:rsidRPr="00E84766" w:rsidRDefault="00000000" w:rsidP="00F86782">
      <w:pPr>
        <w:pStyle w:val="SchemaDefinitionenHeader"/>
        <w:numPr>
          <w:ilvl w:val="0"/>
          <w:numId w:val="28"/>
        </w:numPr>
        <w:ind w:left="1080"/>
        <w:rPr>
          <w:b/>
          <w:bCs/>
          <w:color w:val="auto"/>
          <w:sz w:val="18"/>
          <w:szCs w:val="18"/>
        </w:rPr>
      </w:pPr>
      <w:hyperlink w:anchor="Obj_Voraussetzungen" w:history="1">
        <w:r w:rsidR="00F86782" w:rsidRPr="00E84766">
          <w:rPr>
            <w:rStyle w:val="Hyperlink"/>
            <w:b/>
            <w:bCs/>
            <w:color w:val="auto"/>
            <w:sz w:val="18"/>
            <w:szCs w:val="18"/>
            <w:u w:val="none"/>
          </w:rPr>
          <w:t>Objektive Voraussetzungen</w:t>
        </w:r>
      </w:hyperlink>
    </w:p>
    <w:p w14:paraId="4099E2AB" w14:textId="517774A3" w:rsidR="00F86782" w:rsidRPr="00E84766" w:rsidRDefault="00000000" w:rsidP="00F86782">
      <w:pPr>
        <w:pStyle w:val="SchemaDefinitionenHeader"/>
        <w:numPr>
          <w:ilvl w:val="1"/>
          <w:numId w:val="28"/>
        </w:numPr>
        <w:ind w:left="1800"/>
        <w:rPr>
          <w:i/>
          <w:iCs/>
          <w:color w:val="auto"/>
          <w:sz w:val="18"/>
          <w:szCs w:val="18"/>
        </w:rPr>
      </w:pPr>
      <w:hyperlink w:anchor="Notwehrlage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Notwehrlage</w:t>
        </w:r>
      </w:hyperlink>
    </w:p>
    <w:p w14:paraId="42DF6403" w14:textId="3D522726" w:rsidR="00F86782" w:rsidRPr="00E84766" w:rsidRDefault="00000000" w:rsidP="00F86782">
      <w:pPr>
        <w:pStyle w:val="SchemaDefinitionenHeader"/>
        <w:numPr>
          <w:ilvl w:val="0"/>
          <w:numId w:val="29"/>
        </w:numPr>
        <w:ind w:left="2700"/>
        <w:rPr>
          <w:i/>
          <w:iCs/>
          <w:color w:val="auto"/>
          <w:sz w:val="18"/>
          <w:szCs w:val="18"/>
        </w:rPr>
      </w:pPr>
      <w:hyperlink w:anchor="Angriff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Angriff</w:t>
        </w:r>
      </w:hyperlink>
    </w:p>
    <w:p w14:paraId="27418958" w14:textId="45E698C2" w:rsidR="00F86782" w:rsidRPr="00E84766" w:rsidRDefault="00000000" w:rsidP="00F86782">
      <w:pPr>
        <w:pStyle w:val="SchemaDefinitionenHeader"/>
        <w:numPr>
          <w:ilvl w:val="0"/>
          <w:numId w:val="29"/>
        </w:numPr>
        <w:ind w:left="2700"/>
        <w:rPr>
          <w:i/>
          <w:iCs/>
          <w:color w:val="auto"/>
          <w:sz w:val="18"/>
          <w:szCs w:val="18"/>
        </w:rPr>
      </w:pPr>
      <w:hyperlink w:anchor="Gegenwärtigkeit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Gegenwärtigkeit</w:t>
        </w:r>
      </w:hyperlink>
    </w:p>
    <w:p w14:paraId="7978B7DD" w14:textId="5F678433" w:rsidR="00F86782" w:rsidRPr="00E84766" w:rsidRDefault="00000000" w:rsidP="00F86782">
      <w:pPr>
        <w:pStyle w:val="SchemaDefinitionenHeader"/>
        <w:numPr>
          <w:ilvl w:val="0"/>
          <w:numId w:val="29"/>
        </w:numPr>
        <w:ind w:left="2700"/>
        <w:rPr>
          <w:i/>
          <w:iCs/>
          <w:color w:val="auto"/>
          <w:sz w:val="18"/>
          <w:szCs w:val="18"/>
        </w:rPr>
      </w:pPr>
      <w:hyperlink w:anchor="Rechtswidrigkeit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Rechtswidrigkeit</w:t>
        </w:r>
      </w:hyperlink>
    </w:p>
    <w:p w14:paraId="536988C8" w14:textId="52C9EF8A" w:rsidR="00F86782" w:rsidRPr="00E84766" w:rsidRDefault="00000000" w:rsidP="00F86782">
      <w:pPr>
        <w:pStyle w:val="SchemaDefinitionenHeader"/>
        <w:ind w:left="1656" w:firstLine="108"/>
        <w:rPr>
          <w:color w:val="auto"/>
          <w:sz w:val="18"/>
          <w:szCs w:val="18"/>
        </w:rPr>
      </w:pPr>
      <w:hyperlink w:anchor="Putativnotwehrexzess" w:history="1">
        <w:r w:rsidR="00F86782" w:rsidRPr="00E84766">
          <w:rPr>
            <w:rStyle w:val="Hyperlink"/>
            <w:b/>
            <w:bCs/>
            <w:color w:val="auto"/>
            <w:sz w:val="18"/>
            <w:szCs w:val="18"/>
            <w:u w:val="none"/>
          </w:rPr>
          <w:t>P:</w:t>
        </w:r>
        <w:r w:rsidR="00F86782" w:rsidRPr="00E84766">
          <w:rPr>
            <w:rStyle w:val="Hyperlink"/>
            <w:color w:val="auto"/>
            <w:sz w:val="18"/>
            <w:szCs w:val="18"/>
            <w:u w:val="none"/>
          </w:rPr>
          <w:t xml:space="preserve"> Putativnotwehrexzess</w:t>
        </w:r>
      </w:hyperlink>
    </w:p>
    <w:p w14:paraId="004A59EF" w14:textId="64A9EAD0" w:rsidR="00F86782" w:rsidRPr="00E84766" w:rsidRDefault="00000000" w:rsidP="00F86782">
      <w:pPr>
        <w:pStyle w:val="SchemaDefinitionenHeader"/>
        <w:numPr>
          <w:ilvl w:val="1"/>
          <w:numId w:val="28"/>
        </w:numPr>
        <w:ind w:left="1800"/>
        <w:rPr>
          <w:i/>
          <w:iCs/>
          <w:color w:val="auto"/>
          <w:sz w:val="18"/>
          <w:szCs w:val="18"/>
        </w:rPr>
      </w:pPr>
      <w:hyperlink w:anchor="Überschreiten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Überschreitung der Grenzen der Notwehr</w:t>
        </w:r>
      </w:hyperlink>
    </w:p>
    <w:p w14:paraId="4C67FA2E" w14:textId="482E552F" w:rsidR="00F86782" w:rsidRPr="00E84766" w:rsidRDefault="00000000" w:rsidP="00F86782">
      <w:pPr>
        <w:pStyle w:val="SchemaDefinitionenHeader"/>
        <w:numPr>
          <w:ilvl w:val="0"/>
          <w:numId w:val="30"/>
        </w:numPr>
        <w:ind w:left="2700"/>
        <w:rPr>
          <w:i/>
          <w:iCs/>
          <w:color w:val="auto"/>
          <w:sz w:val="18"/>
          <w:szCs w:val="18"/>
        </w:rPr>
      </w:pPr>
      <w:hyperlink w:anchor="Intensiver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Intensiver Notwehrexzess</w:t>
        </w:r>
      </w:hyperlink>
    </w:p>
    <w:p w14:paraId="1D55170D" w14:textId="2B7E30B7" w:rsidR="00F86782" w:rsidRPr="00E84766" w:rsidRDefault="00000000" w:rsidP="00F86782">
      <w:pPr>
        <w:pStyle w:val="SchemaDefinitionenHeader"/>
        <w:numPr>
          <w:ilvl w:val="0"/>
          <w:numId w:val="30"/>
        </w:numPr>
        <w:ind w:left="2700"/>
        <w:rPr>
          <w:i/>
          <w:iCs/>
          <w:color w:val="auto"/>
          <w:sz w:val="18"/>
          <w:szCs w:val="18"/>
        </w:rPr>
      </w:pPr>
      <w:hyperlink w:anchor="Extensiver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Extensiver Notwehrexzess</w:t>
        </w:r>
      </w:hyperlink>
    </w:p>
    <w:p w14:paraId="3C7FDBE8" w14:textId="1A1B420A" w:rsidR="00F86782" w:rsidRPr="00E84766" w:rsidRDefault="00F86782" w:rsidP="00F86782">
      <w:pPr>
        <w:pStyle w:val="SchemaDefinitionenHeader"/>
        <w:ind w:left="3180"/>
        <w:rPr>
          <w:iCs/>
          <w:color w:val="auto"/>
          <w:sz w:val="18"/>
          <w:szCs w:val="18"/>
        </w:rPr>
      </w:pPr>
      <w:r w:rsidRPr="00415C24">
        <w:rPr>
          <w:b/>
          <w:bCs/>
          <w:iCs/>
          <w:color w:val="auto"/>
          <w:sz w:val="18"/>
          <w:szCs w:val="18"/>
        </w:rPr>
        <w:t>P:</w:t>
      </w:r>
      <w:r w:rsidRPr="00415C24">
        <w:rPr>
          <w:iCs/>
          <w:color w:val="auto"/>
          <w:sz w:val="18"/>
          <w:szCs w:val="18"/>
        </w:rPr>
        <w:t xml:space="preserve"> Ist § 33 StGB in solchen Fällen überhaupt einschlägig?</w:t>
      </w:r>
    </w:p>
    <w:p w14:paraId="34317703" w14:textId="7324DC10" w:rsidR="00F86782" w:rsidRPr="00E84766" w:rsidRDefault="00000000" w:rsidP="00F86782">
      <w:pPr>
        <w:pStyle w:val="SchemaDefinitionenHeader"/>
        <w:numPr>
          <w:ilvl w:val="0"/>
          <w:numId w:val="28"/>
        </w:numPr>
        <w:ind w:left="1080"/>
        <w:rPr>
          <w:b/>
          <w:bCs/>
          <w:color w:val="auto"/>
          <w:sz w:val="18"/>
          <w:szCs w:val="18"/>
        </w:rPr>
      </w:pPr>
      <w:hyperlink w:anchor="Subjektive_Voraussetzungen" w:history="1">
        <w:r w:rsidR="00F86782" w:rsidRPr="00E84766">
          <w:rPr>
            <w:rStyle w:val="Hyperlink"/>
            <w:b/>
            <w:bCs/>
            <w:color w:val="auto"/>
            <w:sz w:val="18"/>
            <w:szCs w:val="18"/>
            <w:u w:val="none"/>
          </w:rPr>
          <w:t>Subjektive Voraussetzungen</w:t>
        </w:r>
      </w:hyperlink>
    </w:p>
    <w:p w14:paraId="5F1948B8" w14:textId="65C2C5FE" w:rsidR="00F86782" w:rsidRPr="00E84766" w:rsidRDefault="00000000" w:rsidP="00F86782">
      <w:pPr>
        <w:pStyle w:val="SchemaDefinitionenHeader"/>
        <w:numPr>
          <w:ilvl w:val="1"/>
          <w:numId w:val="28"/>
        </w:numPr>
        <w:ind w:left="1800"/>
        <w:rPr>
          <w:i/>
          <w:iCs/>
          <w:color w:val="auto"/>
          <w:sz w:val="18"/>
          <w:szCs w:val="18"/>
        </w:rPr>
      </w:pPr>
      <w:hyperlink w:anchor="Asthenische_Affekte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Asthenische Affekte</w:t>
        </w:r>
      </w:hyperlink>
    </w:p>
    <w:p w14:paraId="27DCB759" w14:textId="2A9B324A" w:rsidR="00F86782" w:rsidRPr="00E84766" w:rsidRDefault="00000000" w:rsidP="00F86782">
      <w:pPr>
        <w:pStyle w:val="SchemaDefinitionenHeader"/>
        <w:numPr>
          <w:ilvl w:val="1"/>
          <w:numId w:val="28"/>
        </w:numPr>
        <w:ind w:left="1800"/>
        <w:rPr>
          <w:i/>
          <w:iCs/>
          <w:color w:val="auto"/>
          <w:sz w:val="18"/>
          <w:szCs w:val="18"/>
        </w:rPr>
      </w:pPr>
      <w:hyperlink w:anchor="Verteidigungswille" w:history="1">
        <w:r w:rsidR="00F86782" w:rsidRPr="00E84766">
          <w:rPr>
            <w:rStyle w:val="Hyperlink"/>
            <w:i/>
            <w:iCs/>
            <w:color w:val="auto"/>
            <w:sz w:val="18"/>
            <w:szCs w:val="18"/>
            <w:u w:val="none"/>
          </w:rPr>
          <w:t>Verteidigungswille</w:t>
        </w:r>
      </w:hyperlink>
    </w:p>
    <w:p w14:paraId="40EF3CE0" w14:textId="65B420E6" w:rsidR="00715314" w:rsidRPr="00F86782" w:rsidRDefault="00000000" w:rsidP="00F86782">
      <w:pPr>
        <w:pStyle w:val="SchemaDefinitionenHeader"/>
        <w:numPr>
          <w:ilvl w:val="0"/>
          <w:numId w:val="28"/>
        </w:numPr>
        <w:ind w:left="1080"/>
        <w:rPr>
          <w:b/>
          <w:bCs/>
          <w:color w:val="auto"/>
        </w:rPr>
      </w:pPr>
      <w:hyperlink w:anchor="Rechtsfolge" w:history="1">
        <w:r w:rsidR="00F86782" w:rsidRPr="00E84766">
          <w:rPr>
            <w:rStyle w:val="Hyperlink"/>
            <w:b/>
            <w:bCs/>
            <w:color w:val="auto"/>
            <w:sz w:val="18"/>
            <w:szCs w:val="18"/>
            <w:u w:val="none"/>
          </w:rPr>
          <w:t>Rechtsfolge</w:t>
        </w:r>
      </w:hyperlink>
      <w:r w:rsidR="00715314" w:rsidRPr="00F86782">
        <w:rPr>
          <w:b/>
          <w:bCs/>
          <w:sz w:val="36"/>
          <w:szCs w:val="36"/>
        </w:rPr>
        <w:br w:type="page"/>
      </w:r>
    </w:p>
    <w:p w14:paraId="0324D45E" w14:textId="77777777" w:rsidR="00F86782" w:rsidRDefault="00F86782" w:rsidP="00F86782">
      <w:pPr>
        <w:jc w:val="both"/>
        <w:rPr>
          <w:rFonts w:ascii="Open Sans" w:hAnsi="Open Sans" w:cs="Open Sans"/>
          <w:b/>
          <w:bCs/>
          <w:sz w:val="36"/>
          <w:szCs w:val="36"/>
        </w:rPr>
      </w:pPr>
      <w:r w:rsidRPr="00932E04">
        <w:rPr>
          <w:rFonts w:ascii="Open Sans" w:hAnsi="Open Sans" w:cs="Open Sans"/>
          <w:b/>
          <w:bCs/>
          <w:sz w:val="36"/>
          <w:szCs w:val="36"/>
        </w:rPr>
        <w:lastRenderedPageBreak/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33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Überschreitung der Notwehr</w:t>
      </w:r>
    </w:p>
    <w:p w14:paraId="36F3B93F" w14:textId="77777777" w:rsidR="00F86782" w:rsidRDefault="00F86782" w:rsidP="00F86782">
      <w:pPr>
        <w:pStyle w:val="SchemaDefinitionenHeader"/>
      </w:pPr>
      <w:r w:rsidRPr="00A90E7F">
        <w:t>Schema</w:t>
      </w:r>
    </w:p>
    <w:p w14:paraId="3F1667FA" w14:textId="77777777" w:rsidR="00F86782" w:rsidRDefault="00F86782" w:rsidP="00F86782">
      <w:pPr>
        <w:pStyle w:val="Tatbestandberschriften"/>
        <w:tabs>
          <w:tab w:val="left" w:pos="3965"/>
        </w:tabs>
        <w:spacing w:after="0"/>
      </w:pPr>
    </w:p>
    <w:p w14:paraId="599FB43D" w14:textId="77777777" w:rsidR="00F86782" w:rsidRPr="00522A4E" w:rsidRDefault="00F86782" w:rsidP="00F86782">
      <w:pPr>
        <w:pStyle w:val="SchemaDefinitionenHeader"/>
        <w:numPr>
          <w:ilvl w:val="0"/>
          <w:numId w:val="31"/>
        </w:numPr>
        <w:rPr>
          <w:b/>
          <w:bCs/>
          <w:color w:val="auto"/>
        </w:rPr>
      </w:pPr>
      <w:bookmarkStart w:id="1" w:name="TB"/>
      <w:r w:rsidRPr="00522A4E">
        <w:rPr>
          <w:b/>
          <w:bCs/>
          <w:color w:val="auto"/>
        </w:rPr>
        <w:t>Tatbestand</w:t>
      </w:r>
    </w:p>
    <w:bookmarkEnd w:id="1"/>
    <w:p w14:paraId="5ED280DE" w14:textId="77777777" w:rsidR="00F86782" w:rsidRPr="00F86782" w:rsidRDefault="00F86782" w:rsidP="00F86782">
      <w:pPr>
        <w:pStyle w:val="SchemaDefinitionenHeader"/>
        <w:numPr>
          <w:ilvl w:val="0"/>
          <w:numId w:val="32"/>
        </w:numPr>
        <w:rPr>
          <w:rStyle w:val="Hyperlink"/>
          <w:b/>
          <w:bCs/>
          <w:color w:val="auto"/>
          <w:u w:val="none"/>
        </w:rPr>
      </w:pPr>
      <w:r w:rsidRPr="00F86782">
        <w:rPr>
          <w:rStyle w:val="Hyperlink"/>
          <w:b/>
          <w:bCs/>
          <w:color w:val="auto"/>
          <w:u w:val="none"/>
        </w:rPr>
        <w:t>Objektiver Tatbestand</w:t>
      </w:r>
    </w:p>
    <w:p w14:paraId="4CA6B664" w14:textId="77777777" w:rsidR="00F86782" w:rsidRPr="00F86782" w:rsidRDefault="00F86782" w:rsidP="00F86782">
      <w:pPr>
        <w:pStyle w:val="SchemaDefinitionenHeader"/>
        <w:numPr>
          <w:ilvl w:val="0"/>
          <w:numId w:val="32"/>
        </w:numPr>
        <w:rPr>
          <w:rStyle w:val="Hyperlink"/>
          <w:b/>
          <w:bCs/>
          <w:color w:val="auto"/>
          <w:u w:val="none"/>
        </w:rPr>
      </w:pPr>
      <w:r w:rsidRPr="00F86782">
        <w:rPr>
          <w:rStyle w:val="Hyperlink"/>
          <w:b/>
          <w:bCs/>
          <w:color w:val="auto"/>
          <w:u w:val="none"/>
        </w:rPr>
        <w:t>Subjektiver Tatbestand</w:t>
      </w:r>
    </w:p>
    <w:p w14:paraId="32AFE9D4" w14:textId="77777777" w:rsidR="00F86782" w:rsidRPr="00771793" w:rsidRDefault="00F86782" w:rsidP="00F86782">
      <w:pPr>
        <w:pStyle w:val="SchemaDefinitionenHeader"/>
        <w:ind w:left="720"/>
        <w:rPr>
          <w:b/>
          <w:bCs/>
          <w:color w:val="auto"/>
        </w:rPr>
      </w:pPr>
    </w:p>
    <w:p w14:paraId="21AA3924" w14:textId="77777777" w:rsidR="00F86782" w:rsidRDefault="00F86782" w:rsidP="00F86782">
      <w:pPr>
        <w:pStyle w:val="SchemaDefinitionenHeader"/>
        <w:numPr>
          <w:ilvl w:val="0"/>
          <w:numId w:val="31"/>
        </w:numPr>
        <w:rPr>
          <w:b/>
          <w:bCs/>
          <w:color w:val="auto"/>
        </w:rPr>
      </w:pPr>
      <w:bookmarkStart w:id="2" w:name="RW"/>
      <w:r w:rsidRPr="00522A4E">
        <w:rPr>
          <w:b/>
          <w:bCs/>
          <w:color w:val="auto"/>
        </w:rPr>
        <w:t>Rechtswidrigkeit</w:t>
      </w:r>
    </w:p>
    <w:bookmarkEnd w:id="2"/>
    <w:p w14:paraId="1A5EECBA" w14:textId="268A694A" w:rsidR="00F86782" w:rsidRPr="00BC4551" w:rsidRDefault="00842B13" w:rsidP="00F86782">
      <w:pPr>
        <w:pStyle w:val="SchemaDefinitionenHeader"/>
        <w:ind w:left="720"/>
        <w:rPr>
          <w:color w:val="auto"/>
        </w:rPr>
      </w:pPr>
      <w:r>
        <w:rPr>
          <w:color w:val="auto"/>
        </w:rPr>
        <w:t>An dieser Stelle sind zunächst e</w:t>
      </w:r>
      <w:r w:rsidR="00F86782" w:rsidRPr="00BC4551">
        <w:rPr>
          <w:color w:val="auto"/>
        </w:rPr>
        <w:t>inschlägige Rechtfertigungsgründe zu prüfen, aber abzulehnen</w:t>
      </w:r>
      <w:r w:rsidR="00F86782">
        <w:rPr>
          <w:color w:val="auto"/>
        </w:rPr>
        <w:t>, da eine Rechtfertigungshandlung nicht erforderlich oder geboten ist.</w:t>
      </w:r>
    </w:p>
    <w:p w14:paraId="46AC5C75" w14:textId="77777777" w:rsidR="00F86782" w:rsidRPr="00BC4551" w:rsidRDefault="00F86782" w:rsidP="00F86782">
      <w:pPr>
        <w:pStyle w:val="SchemaDefinitionenHeader"/>
        <w:ind w:left="720"/>
        <w:rPr>
          <w:b/>
          <w:bCs/>
          <w:color w:val="auto"/>
        </w:rPr>
      </w:pPr>
    </w:p>
    <w:p w14:paraId="5D63D9E1" w14:textId="77777777" w:rsidR="00F86782" w:rsidRDefault="00F86782" w:rsidP="00F86782">
      <w:pPr>
        <w:pStyle w:val="SchemaDefinitionenHeader"/>
        <w:numPr>
          <w:ilvl w:val="0"/>
          <w:numId w:val="31"/>
        </w:numPr>
        <w:rPr>
          <w:b/>
          <w:bCs/>
          <w:color w:val="auto"/>
        </w:rPr>
      </w:pPr>
      <w:bookmarkStart w:id="3" w:name="Schuld"/>
      <w:r w:rsidRPr="00522A4E">
        <w:rPr>
          <w:b/>
          <w:bCs/>
          <w:color w:val="auto"/>
        </w:rPr>
        <w:t>Schuld</w:t>
      </w:r>
    </w:p>
    <w:p w14:paraId="5AAA83B9" w14:textId="77777777" w:rsidR="00F86782" w:rsidRDefault="00F86782" w:rsidP="00F86782">
      <w:pPr>
        <w:pStyle w:val="SchemaDefinitionenHeader"/>
        <w:numPr>
          <w:ilvl w:val="0"/>
          <w:numId w:val="26"/>
        </w:numPr>
        <w:rPr>
          <w:b/>
          <w:bCs/>
          <w:color w:val="auto"/>
        </w:rPr>
      </w:pPr>
      <w:bookmarkStart w:id="4" w:name="Obj_Voraussetzungen"/>
      <w:bookmarkEnd w:id="3"/>
      <w:r>
        <w:rPr>
          <w:b/>
          <w:bCs/>
          <w:color w:val="auto"/>
        </w:rPr>
        <w:t>Objektive Voraussetzungen</w:t>
      </w:r>
    </w:p>
    <w:p w14:paraId="5A8C3B21" w14:textId="77777777" w:rsidR="00F86782" w:rsidRPr="00522A4E" w:rsidRDefault="00F86782" w:rsidP="00F86782">
      <w:pPr>
        <w:pStyle w:val="SchemaDefinitionenHeader"/>
        <w:numPr>
          <w:ilvl w:val="1"/>
          <w:numId w:val="26"/>
        </w:numPr>
        <w:rPr>
          <w:i/>
          <w:iCs/>
          <w:color w:val="auto"/>
        </w:rPr>
      </w:pPr>
      <w:bookmarkStart w:id="5" w:name="Notwehrlage"/>
      <w:bookmarkEnd w:id="4"/>
      <w:r>
        <w:rPr>
          <w:i/>
          <w:iCs/>
          <w:color w:val="auto"/>
        </w:rPr>
        <w:t>Notwehrlage</w:t>
      </w:r>
    </w:p>
    <w:bookmarkEnd w:id="5"/>
    <w:p w14:paraId="50C5428B" w14:textId="77777777" w:rsidR="00F86782" w:rsidRDefault="00F86782" w:rsidP="00F86782">
      <w:pPr>
        <w:pStyle w:val="SchemaDefinitionenHeader"/>
        <w:ind w:left="1800"/>
        <w:rPr>
          <w:color w:val="auto"/>
        </w:rPr>
      </w:pPr>
      <w:r>
        <w:rPr>
          <w:color w:val="auto"/>
        </w:rPr>
        <w:t>Gefordert ist ein gegenwärtiger rechtswidriger Angriff.</w:t>
      </w:r>
    </w:p>
    <w:p w14:paraId="3A96BB5E" w14:textId="77777777" w:rsidR="00F86782" w:rsidRDefault="00F86782" w:rsidP="00F86782">
      <w:pPr>
        <w:pStyle w:val="SchemaDefinitionenHeader"/>
        <w:ind w:left="1800"/>
        <w:rPr>
          <w:color w:val="auto"/>
        </w:rPr>
      </w:pPr>
    </w:p>
    <w:p w14:paraId="439EDC11" w14:textId="77777777" w:rsidR="00F86782" w:rsidRPr="00522A4E" w:rsidRDefault="00F86782" w:rsidP="00F86782">
      <w:pPr>
        <w:pStyle w:val="SchemaDefinitionenHeader"/>
        <w:numPr>
          <w:ilvl w:val="0"/>
          <w:numId w:val="4"/>
        </w:numPr>
        <w:ind w:left="2700"/>
        <w:rPr>
          <w:i/>
          <w:iCs/>
          <w:color w:val="auto"/>
        </w:rPr>
      </w:pPr>
      <w:bookmarkStart w:id="6" w:name="Angriff"/>
      <w:r>
        <w:rPr>
          <w:i/>
          <w:iCs/>
          <w:color w:val="auto"/>
        </w:rPr>
        <w:t>Angriff</w:t>
      </w:r>
    </w:p>
    <w:bookmarkEnd w:id="6"/>
    <w:p w14:paraId="406D46A0" w14:textId="5DAE3D13" w:rsidR="00F86782" w:rsidRDefault="00236325" w:rsidP="00F86782">
      <w:pPr>
        <w:pStyle w:val="SchemaDefinitionenHeader"/>
        <w:ind w:left="2700"/>
        <w:rPr>
          <w:color w:val="auto"/>
        </w:rPr>
      </w:pPr>
      <w:r>
        <w:rPr>
          <w:color w:val="auto"/>
        </w:rPr>
        <w:t xml:space="preserve">Ein </w:t>
      </w:r>
      <w:r w:rsidRPr="00842B13">
        <w:rPr>
          <w:i/>
          <w:color w:val="auto"/>
        </w:rPr>
        <w:t>Angriff</w:t>
      </w:r>
      <w:r>
        <w:rPr>
          <w:color w:val="auto"/>
        </w:rPr>
        <w:t xml:space="preserve"> ist j</w:t>
      </w:r>
      <w:r w:rsidR="00F86782">
        <w:rPr>
          <w:color w:val="auto"/>
        </w:rPr>
        <w:t>ede durch menschliches (!) Verhalten drohende Verletzung rechtlich geschützter Interessen.</w:t>
      </w:r>
    </w:p>
    <w:p w14:paraId="3B3B48C8" w14:textId="77777777" w:rsidR="00F86782" w:rsidRDefault="00F86782" w:rsidP="00F86782">
      <w:pPr>
        <w:pStyle w:val="SchemaDefinitionenHeader"/>
        <w:rPr>
          <w:color w:val="auto"/>
        </w:rPr>
      </w:pPr>
    </w:p>
    <w:p w14:paraId="6C6406A2" w14:textId="77777777" w:rsidR="00F86782" w:rsidRPr="005325E2" w:rsidRDefault="00F86782" w:rsidP="00F86782">
      <w:pPr>
        <w:pStyle w:val="SchemaDefinitionenHeader"/>
        <w:numPr>
          <w:ilvl w:val="0"/>
          <w:numId w:val="4"/>
        </w:numPr>
        <w:ind w:left="2700"/>
        <w:rPr>
          <w:i/>
          <w:iCs/>
          <w:color w:val="auto"/>
        </w:rPr>
      </w:pPr>
      <w:bookmarkStart w:id="7" w:name="Gegenwärtigkeit"/>
      <w:r w:rsidRPr="005325E2">
        <w:rPr>
          <w:i/>
          <w:iCs/>
          <w:color w:val="auto"/>
        </w:rPr>
        <w:t>Gegenwärtigkeit</w:t>
      </w:r>
    </w:p>
    <w:bookmarkEnd w:id="7"/>
    <w:p w14:paraId="545F56DB" w14:textId="77777777" w:rsidR="00F86782" w:rsidRDefault="00F86782" w:rsidP="00F86782">
      <w:pPr>
        <w:pStyle w:val="SchemaDefinitionenHeader"/>
        <w:ind w:left="2700"/>
        <w:rPr>
          <w:color w:val="auto"/>
        </w:rPr>
      </w:pPr>
      <w:r>
        <w:rPr>
          <w:color w:val="auto"/>
        </w:rPr>
        <w:t xml:space="preserve">Ein Angriff ist </w:t>
      </w:r>
      <w:r w:rsidRPr="00842B13">
        <w:rPr>
          <w:i/>
          <w:color w:val="auto"/>
        </w:rPr>
        <w:t>gegenwärtig</w:t>
      </w:r>
      <w:r>
        <w:rPr>
          <w:color w:val="auto"/>
        </w:rPr>
        <w:t>, wenn die Verletzung unmittelbar bevorsteht, begonnen hat oder noch nicht abgeschlossen ist.</w:t>
      </w:r>
    </w:p>
    <w:p w14:paraId="6893FFE0" w14:textId="77777777" w:rsidR="00F86782" w:rsidRDefault="00F86782" w:rsidP="00F86782">
      <w:pPr>
        <w:pStyle w:val="SchemaDefinitionenHeader"/>
        <w:ind w:left="2700"/>
        <w:rPr>
          <w:color w:val="auto"/>
        </w:rPr>
      </w:pPr>
      <w:r>
        <w:rPr>
          <w:color w:val="auto"/>
        </w:rPr>
        <w:t>Dauergefahren sind ausgeschlossen.</w:t>
      </w:r>
    </w:p>
    <w:p w14:paraId="10CC18EF" w14:textId="77777777" w:rsidR="00F86782" w:rsidRDefault="00F86782" w:rsidP="00F86782">
      <w:pPr>
        <w:pStyle w:val="SchemaDefinitionenHeader"/>
        <w:ind w:left="2700"/>
        <w:rPr>
          <w:color w:val="auto"/>
        </w:rPr>
      </w:pPr>
    </w:p>
    <w:p w14:paraId="00E5332A" w14:textId="77777777" w:rsidR="00F86782" w:rsidRPr="005325E2" w:rsidRDefault="00F86782" w:rsidP="00F86782">
      <w:pPr>
        <w:pStyle w:val="SchemaDefinitionenHeader"/>
        <w:numPr>
          <w:ilvl w:val="0"/>
          <w:numId w:val="4"/>
        </w:numPr>
        <w:ind w:left="2700"/>
        <w:rPr>
          <w:i/>
          <w:iCs/>
          <w:color w:val="auto"/>
        </w:rPr>
      </w:pPr>
      <w:bookmarkStart w:id="8" w:name="Rechtswidrigkeit"/>
      <w:r w:rsidRPr="005325E2">
        <w:rPr>
          <w:i/>
          <w:iCs/>
          <w:color w:val="auto"/>
        </w:rPr>
        <w:t>Rechtswidrigkeit</w:t>
      </w:r>
    </w:p>
    <w:bookmarkEnd w:id="8"/>
    <w:p w14:paraId="73E8776B" w14:textId="77777777" w:rsidR="00F86782" w:rsidRDefault="00F86782" w:rsidP="00F86782">
      <w:pPr>
        <w:pStyle w:val="SchemaDefinitionenHeader"/>
        <w:ind w:left="2700"/>
        <w:rPr>
          <w:color w:val="auto"/>
        </w:rPr>
      </w:pPr>
      <w:r>
        <w:rPr>
          <w:color w:val="auto"/>
        </w:rPr>
        <w:t xml:space="preserve">Ein Angriff ist </w:t>
      </w:r>
      <w:r w:rsidRPr="00842B13">
        <w:rPr>
          <w:i/>
          <w:color w:val="auto"/>
        </w:rPr>
        <w:t xml:space="preserve">rechtswidrig, </w:t>
      </w:r>
      <w:r>
        <w:rPr>
          <w:color w:val="auto"/>
        </w:rPr>
        <w:t>wenn er nicht durch Rechtfertigungsgründe gedeckt ist.</w:t>
      </w:r>
    </w:p>
    <w:p w14:paraId="383A47AC" w14:textId="77777777" w:rsidR="00F86782" w:rsidRDefault="00F86782" w:rsidP="00F86782">
      <w:pPr>
        <w:pStyle w:val="SchemaDefinitionenHeader"/>
        <w:ind w:left="2700"/>
        <w:rPr>
          <w:color w:val="auto"/>
        </w:rPr>
      </w:pPr>
      <w:r>
        <w:rPr>
          <w:color w:val="auto"/>
        </w:rPr>
        <w:t>Entsprechend wird geprüft, ob der Angreifende seinerseits womöglich gerechtfertigt ist.</w:t>
      </w:r>
    </w:p>
    <w:p w14:paraId="2EDC63FB" w14:textId="77777777" w:rsidR="00F86782" w:rsidRDefault="00F86782" w:rsidP="00F86782">
      <w:pPr>
        <w:pStyle w:val="SchemaDefinitionenHeader"/>
        <w:ind w:left="2700"/>
        <w:rPr>
          <w:color w:val="auto"/>
        </w:rPr>
      </w:pPr>
    </w:p>
    <w:p w14:paraId="57F46D7F" w14:textId="77777777" w:rsidR="00F86782" w:rsidRDefault="00F86782" w:rsidP="00F86782">
      <w:pPr>
        <w:pStyle w:val="SchemaDefinitionenHeader"/>
        <w:ind w:left="1800"/>
        <w:rPr>
          <w:color w:val="auto"/>
        </w:rPr>
      </w:pPr>
      <w:bookmarkStart w:id="9" w:name="Putativnotwehrexzess"/>
      <w:r>
        <w:rPr>
          <w:color w:val="auto"/>
        </w:rPr>
        <w:lastRenderedPageBreak/>
        <w:tab/>
      </w:r>
      <w:r w:rsidRPr="00C63637">
        <w:rPr>
          <w:b/>
          <w:bCs/>
          <w:color w:val="auto"/>
        </w:rPr>
        <w:t>P:</w:t>
      </w:r>
      <w:r>
        <w:rPr>
          <w:color w:val="auto"/>
        </w:rPr>
        <w:t xml:space="preserve"> Putativnotwehrexzess</w:t>
      </w:r>
    </w:p>
    <w:p w14:paraId="57198EC1" w14:textId="77777777" w:rsidR="00F86782" w:rsidRDefault="00F86782" w:rsidP="00F86782">
      <w:pPr>
        <w:pStyle w:val="SchemaDefinitionenHeader"/>
        <w:ind w:left="2124"/>
        <w:rPr>
          <w:color w:val="auto"/>
        </w:rPr>
      </w:pPr>
      <w:bookmarkStart w:id="10" w:name="_Hlk65330263"/>
      <w:bookmarkEnd w:id="9"/>
      <w:r>
        <w:rPr>
          <w:color w:val="auto"/>
        </w:rPr>
        <w:t>Der Täter überschreitet die Grenzen der Notwehr bei nur lediglich angenommener Notwehrlage.</w:t>
      </w:r>
    </w:p>
    <w:bookmarkEnd w:id="10"/>
    <w:p w14:paraId="1A48F448" w14:textId="77777777" w:rsidR="00842B13" w:rsidRDefault="00F86782" w:rsidP="00F86782">
      <w:pPr>
        <w:pStyle w:val="SchemaDefinitionenHeader"/>
        <w:ind w:left="2124"/>
        <w:rPr>
          <w:color w:val="auto"/>
        </w:rPr>
      </w:pPr>
      <w:r w:rsidRPr="00C63637">
        <w:rPr>
          <w:color w:val="auto"/>
        </w:rPr>
        <w:t xml:space="preserve">Es liegt </w:t>
      </w:r>
      <w:r>
        <w:rPr>
          <w:color w:val="auto"/>
        </w:rPr>
        <w:t xml:space="preserve">also </w:t>
      </w:r>
      <w:r w:rsidRPr="00C63637">
        <w:rPr>
          <w:color w:val="auto"/>
        </w:rPr>
        <w:t>bereits keine Notwehrlage vor (</w:t>
      </w:r>
      <w:r w:rsidRPr="00842B13">
        <w:rPr>
          <w:i/>
          <w:color w:val="auto"/>
        </w:rPr>
        <w:t>Putativnotwehr</w:t>
      </w:r>
      <w:r w:rsidRPr="00C63637">
        <w:rPr>
          <w:color w:val="auto"/>
        </w:rPr>
        <w:t xml:space="preserve">), welche der Verteidigende </w:t>
      </w:r>
      <w:r w:rsidR="00842B13">
        <w:rPr>
          <w:color w:val="auto"/>
        </w:rPr>
        <w:t xml:space="preserve">jedoch </w:t>
      </w:r>
      <w:r w:rsidRPr="00C63637">
        <w:rPr>
          <w:color w:val="auto"/>
        </w:rPr>
        <w:t>irrig annimmt</w:t>
      </w:r>
      <w:r>
        <w:rPr>
          <w:color w:val="auto"/>
        </w:rPr>
        <w:t>. E</w:t>
      </w:r>
      <w:r w:rsidRPr="00C63637">
        <w:rPr>
          <w:color w:val="auto"/>
        </w:rPr>
        <w:t xml:space="preserve">ntsprechend scheidet ein Erlaubnistatbestandsirrtum aus, da dieser voraussetzt, dass der Täter gerechtfertigt gewesen wäre, wenn das, was er sich irrig vorstellte, zutreffend gewesen wäre. </w:t>
      </w:r>
    </w:p>
    <w:p w14:paraId="0A86785B" w14:textId="22B1CE6D" w:rsidR="00F86782" w:rsidRPr="00C63637" w:rsidRDefault="00F86782" w:rsidP="00F86782">
      <w:pPr>
        <w:pStyle w:val="SchemaDefinitionenHeader"/>
        <w:ind w:left="2124"/>
        <w:rPr>
          <w:color w:val="auto"/>
        </w:rPr>
      </w:pPr>
      <w:r w:rsidRPr="00C63637">
        <w:rPr>
          <w:color w:val="auto"/>
        </w:rPr>
        <w:t>Wenn nun der Handelnde zusätzlich die Grenzen der Verteidigung aufgrund eines asthenischen Affektes überschreitet, liegt ein Fall des Putativnotwehrexzesses vor.</w:t>
      </w:r>
    </w:p>
    <w:p w14:paraId="63C3E04C" w14:textId="205042C8" w:rsidR="00F86782" w:rsidRPr="00C63637" w:rsidRDefault="00F86782" w:rsidP="00F86782">
      <w:pPr>
        <w:pStyle w:val="SchemaDefinitionenHeader"/>
        <w:ind w:left="2124"/>
        <w:rPr>
          <w:color w:val="auto"/>
        </w:rPr>
      </w:pPr>
      <w:r w:rsidRPr="00C63637">
        <w:rPr>
          <w:color w:val="auto"/>
        </w:rPr>
        <w:t>Der Putativnotwehrexzess ist von § 33 StGB nicht gedeckt</w:t>
      </w:r>
      <w:r w:rsidR="009550B6">
        <w:rPr>
          <w:color w:val="auto"/>
        </w:rPr>
        <w:t xml:space="preserve"> (</w:t>
      </w:r>
      <w:r w:rsidR="009550B6" w:rsidRPr="009550B6">
        <w:rPr>
          <w:color w:val="auto"/>
        </w:rPr>
        <w:t xml:space="preserve">Fischer, </w:t>
      </w:r>
      <w:r w:rsidR="009550B6">
        <w:rPr>
          <w:color w:val="auto"/>
        </w:rPr>
        <w:br/>
      </w:r>
      <w:r w:rsidR="009550B6" w:rsidRPr="009550B6">
        <w:rPr>
          <w:color w:val="auto"/>
        </w:rPr>
        <w:t xml:space="preserve">§ 33 Rn. </w:t>
      </w:r>
      <w:r w:rsidR="009550B6">
        <w:rPr>
          <w:color w:val="auto"/>
        </w:rPr>
        <w:t>5).</w:t>
      </w:r>
    </w:p>
    <w:p w14:paraId="6C80A803" w14:textId="77777777" w:rsidR="00F86782" w:rsidRDefault="00F86782" w:rsidP="00F86782">
      <w:pPr>
        <w:pStyle w:val="SchemaDefinitionenHeader"/>
        <w:ind w:left="2124"/>
        <w:rPr>
          <w:color w:val="auto"/>
        </w:rPr>
      </w:pPr>
    </w:p>
    <w:p w14:paraId="1EBA6437" w14:textId="77777777" w:rsidR="00F86782" w:rsidRDefault="00F86782" w:rsidP="00F86782">
      <w:pPr>
        <w:pStyle w:val="SchemaDefinitionenHeader"/>
        <w:numPr>
          <w:ilvl w:val="1"/>
          <w:numId w:val="26"/>
        </w:numPr>
        <w:rPr>
          <w:i/>
          <w:iCs/>
          <w:color w:val="auto"/>
        </w:rPr>
      </w:pPr>
      <w:bookmarkStart w:id="11" w:name="Überschreiten"/>
      <w:r>
        <w:rPr>
          <w:i/>
          <w:iCs/>
          <w:color w:val="auto"/>
        </w:rPr>
        <w:t>Überschreitung der Grenzen der Notwehr</w:t>
      </w:r>
    </w:p>
    <w:bookmarkEnd w:id="11"/>
    <w:p w14:paraId="6FA365D3" w14:textId="4C8E4E38" w:rsidR="00F86782" w:rsidRDefault="00F86782" w:rsidP="00F86782">
      <w:pPr>
        <w:pStyle w:val="SchemaDefinitionenHeader"/>
        <w:ind w:left="1800"/>
        <w:rPr>
          <w:iCs/>
          <w:color w:val="auto"/>
        </w:rPr>
      </w:pPr>
      <w:r>
        <w:rPr>
          <w:iCs/>
          <w:color w:val="auto"/>
        </w:rPr>
        <w:t xml:space="preserve">Die Notwehrhandlung müsste erforderlich und geboten sein. Überschreitet der Verteidigende mit seiner Notwehrhandlung die Grenzen der Notwehr, dann ist seine Notwehrhandlung </w:t>
      </w:r>
      <w:r w:rsidRPr="00236325">
        <w:rPr>
          <w:iCs/>
          <w:color w:val="auto"/>
        </w:rPr>
        <w:t>nicht erforderlich oder geboten.</w:t>
      </w:r>
      <w:r w:rsidR="00236325">
        <w:rPr>
          <w:iCs/>
          <w:color w:val="auto"/>
        </w:rPr>
        <w:t xml:space="preserve"> In</w:t>
      </w:r>
      <w:r>
        <w:rPr>
          <w:iCs/>
          <w:color w:val="auto"/>
        </w:rPr>
        <w:t xml:space="preserve"> diese</w:t>
      </w:r>
      <w:r w:rsidR="00236325">
        <w:rPr>
          <w:iCs/>
          <w:color w:val="auto"/>
        </w:rPr>
        <w:t xml:space="preserve">n </w:t>
      </w:r>
      <w:r>
        <w:rPr>
          <w:iCs/>
          <w:color w:val="auto"/>
        </w:rPr>
        <w:t>F</w:t>
      </w:r>
      <w:r w:rsidR="00236325">
        <w:rPr>
          <w:iCs/>
          <w:color w:val="auto"/>
        </w:rPr>
        <w:t>ä</w:t>
      </w:r>
      <w:r>
        <w:rPr>
          <w:iCs/>
          <w:color w:val="auto"/>
        </w:rPr>
        <w:t>ll</w:t>
      </w:r>
      <w:r w:rsidR="00236325">
        <w:rPr>
          <w:iCs/>
          <w:color w:val="auto"/>
        </w:rPr>
        <w:t>en</w:t>
      </w:r>
      <w:r>
        <w:rPr>
          <w:iCs/>
          <w:color w:val="auto"/>
        </w:rPr>
        <w:t xml:space="preserve"> unterscheidet man zwischen intensiven und extensiven Notwehrexzess.</w:t>
      </w:r>
    </w:p>
    <w:p w14:paraId="6A86334E" w14:textId="77777777" w:rsidR="00F86782" w:rsidRDefault="00F86782" w:rsidP="00F86782">
      <w:pPr>
        <w:pStyle w:val="SchemaDefinitionenHeader"/>
        <w:ind w:left="1800"/>
        <w:rPr>
          <w:iCs/>
          <w:color w:val="auto"/>
        </w:rPr>
      </w:pPr>
    </w:p>
    <w:p w14:paraId="396B27A7" w14:textId="77777777" w:rsidR="00F86782" w:rsidRPr="00B72B86" w:rsidRDefault="00F86782" w:rsidP="00F86782">
      <w:pPr>
        <w:pStyle w:val="SchemaDefinitionenHeader"/>
        <w:numPr>
          <w:ilvl w:val="0"/>
          <w:numId w:val="27"/>
        </w:numPr>
        <w:rPr>
          <w:i/>
          <w:color w:val="auto"/>
        </w:rPr>
      </w:pPr>
      <w:bookmarkStart w:id="12" w:name="Intensiver"/>
      <w:r w:rsidRPr="00B72B86">
        <w:rPr>
          <w:i/>
          <w:color w:val="auto"/>
        </w:rPr>
        <w:t>Intensiver Notwehrexzess</w:t>
      </w:r>
    </w:p>
    <w:bookmarkEnd w:id="12"/>
    <w:p w14:paraId="5EDD1638" w14:textId="038E354D" w:rsidR="00F86782" w:rsidRDefault="00842B13" w:rsidP="00F86782">
      <w:pPr>
        <w:pStyle w:val="SchemaDefinitionenHeader"/>
        <w:ind w:left="2484"/>
        <w:rPr>
          <w:iCs/>
          <w:color w:val="auto"/>
        </w:rPr>
      </w:pPr>
      <w:r>
        <w:rPr>
          <w:iCs/>
          <w:color w:val="auto"/>
        </w:rPr>
        <w:t>Der intensive Notwehrexzess ist dadurch gekennzeichnet, dass d</w:t>
      </w:r>
      <w:r w:rsidR="00236325">
        <w:rPr>
          <w:iCs/>
          <w:color w:val="auto"/>
        </w:rPr>
        <w:t xml:space="preserve">er </w:t>
      </w:r>
      <w:r w:rsidR="00F86782">
        <w:rPr>
          <w:iCs/>
          <w:color w:val="auto"/>
        </w:rPr>
        <w:t>Rahmen der Erforderlichkeit oder Gebotenheit überschritten</w:t>
      </w:r>
      <w:r>
        <w:rPr>
          <w:iCs/>
          <w:color w:val="auto"/>
        </w:rPr>
        <w:t xml:space="preserve"> wurde</w:t>
      </w:r>
      <w:r w:rsidR="001D4146">
        <w:rPr>
          <w:iCs/>
          <w:color w:val="auto"/>
        </w:rPr>
        <w:t xml:space="preserve"> (</w:t>
      </w:r>
      <w:r w:rsidR="001D4146" w:rsidRPr="001D4146">
        <w:rPr>
          <w:iCs/>
          <w:color w:val="auto"/>
        </w:rPr>
        <w:t>Fischer, § 33 Rn. 2</w:t>
      </w:r>
      <w:r w:rsidR="009550B6">
        <w:rPr>
          <w:iCs/>
          <w:color w:val="auto"/>
        </w:rPr>
        <w:t>).</w:t>
      </w:r>
    </w:p>
    <w:p w14:paraId="62AA5967" w14:textId="3CA049BB" w:rsidR="00F86782" w:rsidRDefault="00236325" w:rsidP="00F86782">
      <w:pPr>
        <w:pStyle w:val="SchemaDefinitionenHeader"/>
        <w:ind w:left="2484"/>
        <w:rPr>
          <w:iCs/>
          <w:color w:val="auto"/>
        </w:rPr>
      </w:pPr>
      <w:bookmarkStart w:id="13" w:name="_Hlk104360160"/>
      <w:r>
        <w:rPr>
          <w:iCs/>
          <w:color w:val="auto"/>
        </w:rPr>
        <w:t xml:space="preserve">Dabei verkennt der </w:t>
      </w:r>
      <w:r w:rsidR="00F86782">
        <w:rPr>
          <w:iCs/>
          <w:color w:val="auto"/>
        </w:rPr>
        <w:t>Täter die Grenzen der Notwehrhandlung.</w:t>
      </w:r>
    </w:p>
    <w:bookmarkEnd w:id="13"/>
    <w:p w14:paraId="3C34B64F" w14:textId="77777777" w:rsidR="00F86782" w:rsidRDefault="00F86782" w:rsidP="00F86782">
      <w:pPr>
        <w:pStyle w:val="SchemaDefinitionenHeader"/>
        <w:ind w:left="2484"/>
        <w:rPr>
          <w:iCs/>
          <w:color w:val="auto"/>
        </w:rPr>
      </w:pPr>
    </w:p>
    <w:p w14:paraId="4D42D222" w14:textId="77777777" w:rsidR="00F86782" w:rsidRPr="00B72B86" w:rsidRDefault="00F86782" w:rsidP="00F86782">
      <w:pPr>
        <w:pStyle w:val="SchemaDefinitionenHeader"/>
        <w:numPr>
          <w:ilvl w:val="0"/>
          <w:numId w:val="27"/>
        </w:numPr>
        <w:rPr>
          <w:i/>
          <w:color w:val="auto"/>
        </w:rPr>
      </w:pPr>
      <w:bookmarkStart w:id="14" w:name="Extensiver"/>
      <w:r w:rsidRPr="00B72B86">
        <w:rPr>
          <w:i/>
          <w:color w:val="auto"/>
        </w:rPr>
        <w:t>Extensiver Notwehrexzess</w:t>
      </w:r>
    </w:p>
    <w:bookmarkEnd w:id="14"/>
    <w:p w14:paraId="17844F9A" w14:textId="247A1146" w:rsidR="00F86782" w:rsidRDefault="00842B13" w:rsidP="00842B13">
      <w:pPr>
        <w:pStyle w:val="SchemaDefinitionenHeader"/>
        <w:ind w:left="2484"/>
        <w:rPr>
          <w:iCs/>
          <w:color w:val="auto"/>
        </w:rPr>
      </w:pPr>
      <w:r>
        <w:rPr>
          <w:iCs/>
          <w:color w:val="auto"/>
        </w:rPr>
        <w:t>Der extensive Notwehrexzess ist dadurch gekennzeichnet, dass d</w:t>
      </w:r>
      <w:r w:rsidR="00236325">
        <w:rPr>
          <w:iCs/>
          <w:color w:val="auto"/>
        </w:rPr>
        <w:t>er z</w:t>
      </w:r>
      <w:r w:rsidR="00F86782">
        <w:rPr>
          <w:iCs/>
          <w:color w:val="auto"/>
        </w:rPr>
        <w:t>eitliche Rahmen überschritten</w:t>
      </w:r>
      <w:r>
        <w:rPr>
          <w:iCs/>
          <w:color w:val="auto"/>
        </w:rPr>
        <w:t xml:space="preserve"> wurde</w:t>
      </w:r>
      <w:r w:rsidR="00F86782">
        <w:rPr>
          <w:iCs/>
          <w:color w:val="auto"/>
        </w:rPr>
        <w:t>, d.h., dass der Angriff bereits nicht mehr gegenwärtig war.</w:t>
      </w:r>
    </w:p>
    <w:p w14:paraId="5BE41E07" w14:textId="2F817960" w:rsidR="00F86782" w:rsidRDefault="00236325" w:rsidP="009550B6">
      <w:pPr>
        <w:pStyle w:val="SchemaDefinitionenHeader"/>
        <w:ind w:left="2484"/>
        <w:rPr>
          <w:iCs/>
          <w:color w:val="auto"/>
        </w:rPr>
      </w:pPr>
      <w:bookmarkStart w:id="15" w:name="_Hlk104360171"/>
      <w:r>
        <w:rPr>
          <w:iCs/>
          <w:color w:val="auto"/>
        </w:rPr>
        <w:t xml:space="preserve">Dabei </w:t>
      </w:r>
      <w:r w:rsidR="00F86782">
        <w:rPr>
          <w:iCs/>
          <w:color w:val="auto"/>
        </w:rPr>
        <w:t>verkennt</w:t>
      </w:r>
      <w:r>
        <w:rPr>
          <w:iCs/>
          <w:color w:val="auto"/>
        </w:rPr>
        <w:t xml:space="preserve"> der Täter</w:t>
      </w:r>
      <w:r w:rsidR="00F86782">
        <w:rPr>
          <w:iCs/>
          <w:color w:val="auto"/>
        </w:rPr>
        <w:t xml:space="preserve"> die (zeitlichen) Grenzen der Notwehrlage.</w:t>
      </w:r>
      <w:bookmarkEnd w:id="15"/>
    </w:p>
    <w:p w14:paraId="58BF5B23" w14:textId="342E1050" w:rsidR="00F86782" w:rsidRPr="00842B13" w:rsidRDefault="00F86782" w:rsidP="001D4146">
      <w:pPr>
        <w:pStyle w:val="SchemaDefinitionenHeader"/>
        <w:ind w:left="2832"/>
        <w:rPr>
          <w:iCs/>
          <w:color w:val="auto"/>
        </w:rPr>
      </w:pPr>
      <w:bookmarkStart w:id="16" w:name="Einschlägig"/>
      <w:r w:rsidRPr="00BC4551">
        <w:rPr>
          <w:b/>
          <w:bCs/>
          <w:iCs/>
          <w:color w:val="auto"/>
        </w:rPr>
        <w:t>P:</w:t>
      </w:r>
      <w:r>
        <w:rPr>
          <w:iCs/>
          <w:color w:val="auto"/>
        </w:rPr>
        <w:t xml:space="preserve"> Ist § 33 StGB in solchen Fällen überhaupt einschlägig?</w:t>
      </w:r>
      <w:bookmarkEnd w:id="16"/>
      <w:r w:rsidR="001D4146">
        <w:rPr>
          <w:iCs/>
          <w:color w:val="auto"/>
        </w:rPr>
        <w:t xml:space="preserve"> </w:t>
      </w:r>
      <w:r w:rsidR="001D4146">
        <w:rPr>
          <w:iCs/>
          <w:color w:val="auto"/>
        </w:rPr>
        <w:br/>
        <w:t xml:space="preserve">(vgl. </w:t>
      </w:r>
      <w:r w:rsidR="001D4146" w:rsidRPr="001D4146">
        <w:rPr>
          <w:iCs/>
          <w:color w:val="auto"/>
        </w:rPr>
        <w:t>JuS 2012, 408</w:t>
      </w:r>
      <w:r w:rsidR="001D4146">
        <w:rPr>
          <w:iCs/>
          <w:color w:val="auto"/>
        </w:rPr>
        <w:t>)</w:t>
      </w:r>
    </w:p>
    <w:p w14:paraId="4018211C" w14:textId="77777777" w:rsidR="00F86782" w:rsidRDefault="00F86782" w:rsidP="00F86782">
      <w:pPr>
        <w:pStyle w:val="SchemaDefinitionenHeader"/>
        <w:numPr>
          <w:ilvl w:val="0"/>
          <w:numId w:val="26"/>
        </w:numPr>
        <w:rPr>
          <w:b/>
          <w:bCs/>
          <w:color w:val="auto"/>
        </w:rPr>
      </w:pPr>
      <w:bookmarkStart w:id="17" w:name="Subjektive_Voraussetzungen"/>
      <w:r>
        <w:rPr>
          <w:b/>
          <w:bCs/>
          <w:color w:val="auto"/>
        </w:rPr>
        <w:lastRenderedPageBreak/>
        <w:t>Subjektive Voraussetzungen</w:t>
      </w:r>
    </w:p>
    <w:p w14:paraId="78BB0F60" w14:textId="77777777" w:rsidR="00F86782" w:rsidRPr="00BC4551" w:rsidRDefault="00F86782" w:rsidP="00F86782">
      <w:pPr>
        <w:pStyle w:val="SchemaDefinitionenHeader"/>
        <w:numPr>
          <w:ilvl w:val="1"/>
          <w:numId w:val="26"/>
        </w:numPr>
        <w:rPr>
          <w:i/>
          <w:iCs/>
          <w:color w:val="auto"/>
        </w:rPr>
      </w:pPr>
      <w:bookmarkStart w:id="18" w:name="Asthenische_Affekte"/>
      <w:bookmarkEnd w:id="17"/>
      <w:r w:rsidRPr="00BC4551">
        <w:rPr>
          <w:i/>
          <w:iCs/>
          <w:color w:val="auto"/>
        </w:rPr>
        <w:t xml:space="preserve">Asthenische </w:t>
      </w:r>
      <w:r>
        <w:rPr>
          <w:i/>
          <w:iCs/>
          <w:color w:val="auto"/>
        </w:rPr>
        <w:t>Affekte</w:t>
      </w:r>
    </w:p>
    <w:bookmarkEnd w:id="18"/>
    <w:p w14:paraId="3B49DEC5" w14:textId="421EB7E4" w:rsidR="00F86782" w:rsidRDefault="00F86782" w:rsidP="00F86782">
      <w:pPr>
        <w:pStyle w:val="SchemaDefinitionenHeader"/>
        <w:ind w:left="1800"/>
        <w:rPr>
          <w:color w:val="auto"/>
        </w:rPr>
      </w:pPr>
      <w:r>
        <w:rPr>
          <w:color w:val="auto"/>
        </w:rPr>
        <w:t>Der Verteidigende handelt aus Verwirrung, Furcht oder Schrecken (sog. asthenische Affekte)</w:t>
      </w:r>
      <w:r w:rsidR="009550B6">
        <w:rPr>
          <w:color w:val="auto"/>
        </w:rPr>
        <w:t xml:space="preserve"> (</w:t>
      </w:r>
      <w:r w:rsidR="009550B6" w:rsidRPr="009550B6">
        <w:rPr>
          <w:color w:val="auto"/>
        </w:rPr>
        <w:t xml:space="preserve">Fischer, § 33 Rn. </w:t>
      </w:r>
      <w:r w:rsidR="009550B6">
        <w:rPr>
          <w:color w:val="auto"/>
        </w:rPr>
        <w:t>3).</w:t>
      </w:r>
    </w:p>
    <w:p w14:paraId="1BF40003" w14:textId="77777777" w:rsidR="00F86782" w:rsidRDefault="00F86782" w:rsidP="00F86782">
      <w:pPr>
        <w:pStyle w:val="SchemaDefinitionenHeader"/>
        <w:ind w:left="1464" w:firstLine="336"/>
        <w:rPr>
          <w:color w:val="auto"/>
        </w:rPr>
      </w:pPr>
      <w:r>
        <w:rPr>
          <w:color w:val="auto"/>
        </w:rPr>
        <w:t>Nicht erfasst sind z.B. Zorn, Verwirrung, Furcht (sthenische Affekte).</w:t>
      </w:r>
    </w:p>
    <w:p w14:paraId="7AB141C3" w14:textId="77777777" w:rsidR="00F86782" w:rsidRDefault="00F86782" w:rsidP="00F86782">
      <w:pPr>
        <w:pStyle w:val="SchemaDefinitionenHeader"/>
        <w:ind w:left="1464" w:firstLine="336"/>
        <w:rPr>
          <w:color w:val="auto"/>
        </w:rPr>
      </w:pPr>
    </w:p>
    <w:p w14:paraId="7D34CB66" w14:textId="77777777" w:rsidR="00F86782" w:rsidRPr="00BC4551" w:rsidRDefault="00F86782" w:rsidP="00F86782">
      <w:pPr>
        <w:pStyle w:val="SchemaDefinitionenHeader"/>
        <w:numPr>
          <w:ilvl w:val="1"/>
          <w:numId w:val="26"/>
        </w:numPr>
        <w:rPr>
          <w:i/>
          <w:iCs/>
          <w:color w:val="auto"/>
        </w:rPr>
      </w:pPr>
      <w:bookmarkStart w:id="19" w:name="Verteidigungswille"/>
      <w:r w:rsidRPr="00BC4551">
        <w:rPr>
          <w:i/>
          <w:iCs/>
          <w:color w:val="auto"/>
        </w:rPr>
        <w:t>Verteidigungswille</w:t>
      </w:r>
    </w:p>
    <w:bookmarkEnd w:id="19"/>
    <w:p w14:paraId="6D6C081B" w14:textId="77777777" w:rsidR="00F86782" w:rsidRDefault="00F86782" w:rsidP="00F86782">
      <w:pPr>
        <w:pStyle w:val="SchemaDefinitionenHeader"/>
        <w:ind w:left="1800"/>
        <w:rPr>
          <w:color w:val="auto"/>
        </w:rPr>
      </w:pPr>
      <w:r w:rsidRPr="006A2273">
        <w:rPr>
          <w:color w:val="auto"/>
        </w:rPr>
        <w:t>Der Verteidiger muss in Kenntnis und aufgrund der Notwehrlage handeln.</w:t>
      </w:r>
    </w:p>
    <w:p w14:paraId="647FDDFB" w14:textId="77777777" w:rsidR="00F86782" w:rsidRDefault="00F86782" w:rsidP="00F86782">
      <w:pPr>
        <w:pStyle w:val="SchemaDefinitionenHeader"/>
        <w:ind w:left="1800"/>
        <w:rPr>
          <w:color w:val="auto"/>
        </w:rPr>
      </w:pPr>
      <w:r>
        <w:rPr>
          <w:color w:val="auto"/>
        </w:rPr>
        <w:t>Ein bewusster Exzess führt zu einer Strafbarkeit wegen vorsätzlicher Tat.</w:t>
      </w:r>
    </w:p>
    <w:p w14:paraId="1873CEDC" w14:textId="77777777" w:rsidR="00F86782" w:rsidRDefault="00F86782" w:rsidP="00F86782">
      <w:pPr>
        <w:pStyle w:val="SchemaDefinitionenHeader"/>
        <w:ind w:left="1800"/>
        <w:rPr>
          <w:color w:val="auto"/>
        </w:rPr>
      </w:pPr>
    </w:p>
    <w:p w14:paraId="2DD39E3F" w14:textId="77777777" w:rsidR="00F86782" w:rsidRPr="00BC4551" w:rsidRDefault="00F86782" w:rsidP="00F86782">
      <w:pPr>
        <w:pStyle w:val="SchemaDefinitionenHeader"/>
        <w:numPr>
          <w:ilvl w:val="0"/>
          <w:numId w:val="26"/>
        </w:numPr>
        <w:rPr>
          <w:b/>
          <w:bCs/>
          <w:color w:val="auto"/>
        </w:rPr>
      </w:pPr>
      <w:bookmarkStart w:id="20" w:name="Rechtsfolge"/>
      <w:r w:rsidRPr="00BC4551">
        <w:rPr>
          <w:b/>
          <w:bCs/>
          <w:color w:val="auto"/>
        </w:rPr>
        <w:t>Rechtsfolge</w:t>
      </w:r>
    </w:p>
    <w:bookmarkEnd w:id="20"/>
    <w:p w14:paraId="2A6AA5F0" w14:textId="77777777" w:rsidR="00F86782" w:rsidRDefault="00F86782" w:rsidP="00F86782">
      <w:pPr>
        <w:pStyle w:val="SchemaDefinitionenHeader"/>
        <w:ind w:left="1080"/>
        <w:rPr>
          <w:color w:val="auto"/>
        </w:rPr>
      </w:pPr>
      <w:r>
        <w:rPr>
          <w:color w:val="auto"/>
        </w:rPr>
        <w:t>Eine Bejahung des § 33 StGB führt zum Ausschluss der Schuld.</w:t>
      </w:r>
    </w:p>
    <w:p w14:paraId="586CB3DD" w14:textId="77777777" w:rsidR="00F86782" w:rsidRDefault="00F86782" w:rsidP="00F86782">
      <w:pPr>
        <w:jc w:val="both"/>
        <w:rPr>
          <w:rFonts w:ascii="Open Sans" w:hAnsi="Open Sans" w:cs="Open Sans"/>
          <w:bCs/>
        </w:rPr>
      </w:pPr>
    </w:p>
    <w:p w14:paraId="5D3D10A8" w14:textId="77777777" w:rsidR="00F86782" w:rsidRDefault="00F86782" w:rsidP="00F86782"/>
    <w:p w14:paraId="1BD8A0D2" w14:textId="77777777" w:rsidR="001D4146" w:rsidRDefault="001D4146" w:rsidP="001D4146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Quellen:</w:t>
      </w:r>
    </w:p>
    <w:p w14:paraId="609E664A" w14:textId="40A2AA7A" w:rsidR="001D4146" w:rsidRDefault="001D4146" w:rsidP="001D4146">
      <w:pPr>
        <w:jc w:val="both"/>
        <w:rPr>
          <w:rFonts w:ascii="Open Sans" w:hAnsi="Open Sans" w:cs="Open Sans"/>
          <w:bCs/>
        </w:rPr>
      </w:pPr>
      <w:r w:rsidRPr="00243D99">
        <w:rPr>
          <w:rFonts w:ascii="Open Sans" w:hAnsi="Open Sans" w:cs="Open Sans"/>
          <w:bCs/>
        </w:rPr>
        <w:t>Fischer, 67. Aufl. 2020, § 33 Rn. 2 ff.</w:t>
      </w:r>
    </w:p>
    <w:p w14:paraId="3B72CFEE" w14:textId="56F3ACA2" w:rsidR="001D4146" w:rsidRDefault="001D4146" w:rsidP="001D4146">
      <w:pPr>
        <w:jc w:val="both"/>
        <w:rPr>
          <w:rFonts w:ascii="Open Sans" w:hAnsi="Open Sans" w:cs="Open Sans"/>
          <w:bCs/>
        </w:rPr>
      </w:pPr>
      <w:r w:rsidRPr="001D4146">
        <w:rPr>
          <w:rFonts w:ascii="Open Sans" w:hAnsi="Open Sans" w:cs="Open Sans"/>
          <w:bCs/>
        </w:rPr>
        <w:t>JuS 2012, 408</w:t>
      </w:r>
      <w:r>
        <w:rPr>
          <w:rFonts w:ascii="Open Sans" w:hAnsi="Open Sans" w:cs="Open Sans"/>
          <w:bCs/>
        </w:rPr>
        <w:t>. – Entschuldigung nach §§ 33 StGB bei Putativnotwehr und Putativnotwehrexzess.</w:t>
      </w:r>
    </w:p>
    <w:p w14:paraId="0AB4E20A" w14:textId="77777777" w:rsidR="00F86782" w:rsidRPr="00D01277" w:rsidRDefault="00F86782" w:rsidP="00F86782">
      <w:pPr>
        <w:rPr>
          <w:rFonts w:ascii="Open Sans" w:hAnsi="Open Sans" w:cs="Open Sans"/>
        </w:rPr>
      </w:pPr>
    </w:p>
    <w:p w14:paraId="5378D6A5" w14:textId="054D0D0F" w:rsidR="00295E1E" w:rsidRPr="00D01277" w:rsidRDefault="00295E1E" w:rsidP="00F86782">
      <w:pPr>
        <w:jc w:val="both"/>
        <w:rPr>
          <w:rFonts w:ascii="Open Sans" w:hAnsi="Open Sans" w:cs="Open Sans"/>
        </w:rPr>
      </w:pPr>
    </w:p>
    <w:sectPr w:rsidR="00295E1E" w:rsidRPr="00D012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1BB1" w14:textId="77777777" w:rsidR="002A0C57" w:rsidRDefault="002A0C57" w:rsidP="0041069B">
      <w:pPr>
        <w:spacing w:after="0" w:line="240" w:lineRule="auto"/>
      </w:pPr>
      <w:r>
        <w:separator/>
      </w:r>
    </w:p>
  </w:endnote>
  <w:endnote w:type="continuationSeparator" w:id="0">
    <w:p w14:paraId="556F3A2C" w14:textId="77777777" w:rsidR="002A0C57" w:rsidRDefault="002A0C57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DFEE0" w14:textId="77777777" w:rsidR="00787C20" w:rsidRDefault="00787C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A60D0D">
      <w:tc>
        <w:tcPr>
          <w:tcW w:w="3020" w:type="dxa"/>
        </w:tcPr>
        <w:bookmarkStart w:id="21" w:name="_Hlk64808829"/>
        <w:bookmarkStart w:id="22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50BC762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544C20D5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77777777" w:rsidR="00A60D0D" w:rsidRDefault="00A60D0D" w:rsidP="0041069B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21"/>
    <w:bookmarkEnd w:id="22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89C9" w14:textId="77777777" w:rsidR="00787C20" w:rsidRDefault="00787C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DFAD1" w14:textId="77777777" w:rsidR="002A0C57" w:rsidRDefault="002A0C57" w:rsidP="0041069B">
      <w:pPr>
        <w:spacing w:after="0" w:line="240" w:lineRule="auto"/>
      </w:pPr>
      <w:r>
        <w:separator/>
      </w:r>
    </w:p>
  </w:footnote>
  <w:footnote w:type="continuationSeparator" w:id="0">
    <w:p w14:paraId="3914A5B8" w14:textId="77777777" w:rsidR="002A0C57" w:rsidRDefault="002A0C57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C714" w14:textId="77777777" w:rsidR="00787C20" w:rsidRDefault="00787C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F0D4" w14:textId="77777777" w:rsidR="00787C20" w:rsidRDefault="00787C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3737CB7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DD65FA"/>
    <w:multiLevelType w:val="hybridMultilevel"/>
    <w:tmpl w:val="EAEAC4C8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15">
      <w:start w:val="1"/>
      <w:numFmt w:val="decimal"/>
      <w:lvlText w:val="(%4)"/>
      <w:lvlJc w:val="left"/>
      <w:pPr>
        <w:ind w:left="3240" w:hanging="360"/>
      </w:pPr>
    </w:lvl>
    <w:lvl w:ilvl="4" w:tplc="E48687AC">
      <w:start w:val="1"/>
      <w:numFmt w:val="decimal"/>
      <w:lvlText w:val="(%5)"/>
      <w:lvlJc w:val="left"/>
      <w:pPr>
        <w:ind w:left="3960" w:hanging="360"/>
      </w:pPr>
      <w:rPr>
        <w:rFonts w:hint="default"/>
      </w:rPr>
    </w:lvl>
    <w:lvl w:ilvl="5" w:tplc="A16E8AEC">
      <w:start w:val="1"/>
      <w:numFmt w:val="bullet"/>
      <w:lvlText w:val="-"/>
      <w:lvlJc w:val="left"/>
      <w:pPr>
        <w:ind w:left="4860" w:hanging="360"/>
      </w:pPr>
      <w:rPr>
        <w:rFonts w:ascii="Open Sans" w:eastAsiaTheme="minorHAnsi" w:hAnsi="Open Sans" w:cs="Open Sans" w:hint="default"/>
      </w:r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2" w15:restartNumberingAfterBreak="0">
    <w:nsid w:val="3B33427B"/>
    <w:multiLevelType w:val="hybridMultilevel"/>
    <w:tmpl w:val="59DA92B8"/>
    <w:lvl w:ilvl="0" w:tplc="202240AC">
      <w:start w:val="27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780" w:hanging="360"/>
      </w:pPr>
    </w:lvl>
    <w:lvl w:ilvl="2" w:tplc="0407001B">
      <w:start w:val="1"/>
      <w:numFmt w:val="lowerRoman"/>
      <w:lvlText w:val="%3."/>
      <w:lvlJc w:val="right"/>
      <w:pPr>
        <w:ind w:left="4500" w:hanging="180"/>
      </w:pPr>
    </w:lvl>
    <w:lvl w:ilvl="3" w:tplc="0407000F" w:tentative="1">
      <w:start w:val="1"/>
      <w:numFmt w:val="decimal"/>
      <w:lvlText w:val="%4."/>
      <w:lvlJc w:val="left"/>
      <w:pPr>
        <w:ind w:left="5220" w:hanging="360"/>
      </w:pPr>
    </w:lvl>
    <w:lvl w:ilvl="4" w:tplc="04070019" w:tentative="1">
      <w:start w:val="1"/>
      <w:numFmt w:val="lowerLetter"/>
      <w:lvlText w:val="%5."/>
      <w:lvlJc w:val="left"/>
      <w:pPr>
        <w:ind w:left="5940" w:hanging="360"/>
      </w:pPr>
    </w:lvl>
    <w:lvl w:ilvl="5" w:tplc="0407001B" w:tentative="1">
      <w:start w:val="1"/>
      <w:numFmt w:val="lowerRoman"/>
      <w:lvlText w:val="%6."/>
      <w:lvlJc w:val="right"/>
      <w:pPr>
        <w:ind w:left="6660" w:hanging="180"/>
      </w:pPr>
    </w:lvl>
    <w:lvl w:ilvl="6" w:tplc="0407000F" w:tentative="1">
      <w:start w:val="1"/>
      <w:numFmt w:val="decimal"/>
      <w:lvlText w:val="%7."/>
      <w:lvlJc w:val="left"/>
      <w:pPr>
        <w:ind w:left="7380" w:hanging="360"/>
      </w:pPr>
    </w:lvl>
    <w:lvl w:ilvl="7" w:tplc="04070019" w:tentative="1">
      <w:start w:val="1"/>
      <w:numFmt w:val="lowerLetter"/>
      <w:lvlText w:val="%8."/>
      <w:lvlJc w:val="left"/>
      <w:pPr>
        <w:ind w:left="8100" w:hanging="360"/>
      </w:pPr>
    </w:lvl>
    <w:lvl w:ilvl="8" w:tplc="0407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7" w15:restartNumberingAfterBreak="0">
    <w:nsid w:val="4DBA2174"/>
    <w:multiLevelType w:val="hybridMultilevel"/>
    <w:tmpl w:val="58309364"/>
    <w:lvl w:ilvl="0" w:tplc="CF96670E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  <w:szCs w:val="18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A40401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0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770D9"/>
    <w:multiLevelType w:val="hybridMultilevel"/>
    <w:tmpl w:val="59DA92B8"/>
    <w:lvl w:ilvl="0" w:tplc="202240AC">
      <w:start w:val="27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780" w:hanging="360"/>
      </w:pPr>
    </w:lvl>
    <w:lvl w:ilvl="2" w:tplc="0407001B">
      <w:start w:val="1"/>
      <w:numFmt w:val="lowerRoman"/>
      <w:lvlText w:val="%3."/>
      <w:lvlJc w:val="right"/>
      <w:pPr>
        <w:ind w:left="4500" w:hanging="180"/>
      </w:pPr>
    </w:lvl>
    <w:lvl w:ilvl="3" w:tplc="0407000F" w:tentative="1">
      <w:start w:val="1"/>
      <w:numFmt w:val="decimal"/>
      <w:lvlText w:val="%4."/>
      <w:lvlJc w:val="left"/>
      <w:pPr>
        <w:ind w:left="5220" w:hanging="360"/>
      </w:pPr>
    </w:lvl>
    <w:lvl w:ilvl="4" w:tplc="04070019" w:tentative="1">
      <w:start w:val="1"/>
      <w:numFmt w:val="lowerLetter"/>
      <w:lvlText w:val="%5."/>
      <w:lvlJc w:val="left"/>
      <w:pPr>
        <w:ind w:left="5940" w:hanging="360"/>
      </w:pPr>
    </w:lvl>
    <w:lvl w:ilvl="5" w:tplc="0407001B" w:tentative="1">
      <w:start w:val="1"/>
      <w:numFmt w:val="lowerRoman"/>
      <w:lvlText w:val="%6."/>
      <w:lvlJc w:val="right"/>
      <w:pPr>
        <w:ind w:left="6660" w:hanging="180"/>
      </w:pPr>
    </w:lvl>
    <w:lvl w:ilvl="6" w:tplc="0407000F" w:tentative="1">
      <w:start w:val="1"/>
      <w:numFmt w:val="decimal"/>
      <w:lvlText w:val="%7."/>
      <w:lvlJc w:val="left"/>
      <w:pPr>
        <w:ind w:left="7380" w:hanging="360"/>
      </w:pPr>
    </w:lvl>
    <w:lvl w:ilvl="7" w:tplc="04070019" w:tentative="1">
      <w:start w:val="1"/>
      <w:numFmt w:val="lowerLetter"/>
      <w:lvlText w:val="%8."/>
      <w:lvlJc w:val="left"/>
      <w:pPr>
        <w:ind w:left="8100" w:hanging="360"/>
      </w:pPr>
    </w:lvl>
    <w:lvl w:ilvl="8" w:tplc="0407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6" w15:restartNumberingAfterBreak="0">
    <w:nsid w:val="74232555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30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1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208106729">
    <w:abstractNumId w:val="24"/>
  </w:num>
  <w:num w:numId="2" w16cid:durableId="937979330">
    <w:abstractNumId w:val="5"/>
  </w:num>
  <w:num w:numId="3" w16cid:durableId="848105096">
    <w:abstractNumId w:val="7"/>
  </w:num>
  <w:num w:numId="4" w16cid:durableId="280379030">
    <w:abstractNumId w:val="28"/>
  </w:num>
  <w:num w:numId="5" w16cid:durableId="570778569">
    <w:abstractNumId w:val="31"/>
  </w:num>
  <w:num w:numId="6" w16cid:durableId="859662562">
    <w:abstractNumId w:val="16"/>
  </w:num>
  <w:num w:numId="7" w16cid:durableId="866672972">
    <w:abstractNumId w:val="13"/>
  </w:num>
  <w:num w:numId="8" w16cid:durableId="439954497">
    <w:abstractNumId w:val="21"/>
  </w:num>
  <w:num w:numId="9" w16cid:durableId="209192122">
    <w:abstractNumId w:val="27"/>
  </w:num>
  <w:num w:numId="10" w16cid:durableId="355231651">
    <w:abstractNumId w:val="14"/>
  </w:num>
  <w:num w:numId="11" w16cid:durableId="1690178978">
    <w:abstractNumId w:val="30"/>
  </w:num>
  <w:num w:numId="12" w16cid:durableId="1705059370">
    <w:abstractNumId w:val="15"/>
  </w:num>
  <w:num w:numId="13" w16cid:durableId="433672743">
    <w:abstractNumId w:val="29"/>
  </w:num>
  <w:num w:numId="14" w16cid:durableId="1633516296">
    <w:abstractNumId w:val="22"/>
  </w:num>
  <w:num w:numId="15" w16cid:durableId="88815200">
    <w:abstractNumId w:val="11"/>
  </w:num>
  <w:num w:numId="16" w16cid:durableId="3017470">
    <w:abstractNumId w:val="0"/>
  </w:num>
  <w:num w:numId="17" w16cid:durableId="1830290211">
    <w:abstractNumId w:val="19"/>
  </w:num>
  <w:num w:numId="18" w16cid:durableId="828793276">
    <w:abstractNumId w:val="3"/>
  </w:num>
  <w:num w:numId="19" w16cid:durableId="544028713">
    <w:abstractNumId w:val="20"/>
  </w:num>
  <w:num w:numId="20" w16cid:durableId="1439326402">
    <w:abstractNumId w:val="4"/>
  </w:num>
  <w:num w:numId="21" w16cid:durableId="1447431853">
    <w:abstractNumId w:val="10"/>
  </w:num>
  <w:num w:numId="22" w16cid:durableId="1942294548">
    <w:abstractNumId w:val="2"/>
  </w:num>
  <w:num w:numId="23" w16cid:durableId="1422291146">
    <w:abstractNumId w:val="9"/>
  </w:num>
  <w:num w:numId="24" w16cid:durableId="722143984">
    <w:abstractNumId w:val="23"/>
  </w:num>
  <w:num w:numId="25" w16cid:durableId="557546241">
    <w:abstractNumId w:val="6"/>
  </w:num>
  <w:num w:numId="26" w16cid:durableId="1239753772">
    <w:abstractNumId w:val="8"/>
  </w:num>
  <w:num w:numId="27" w16cid:durableId="500701416">
    <w:abstractNumId w:val="18"/>
  </w:num>
  <w:num w:numId="28" w16cid:durableId="686101637">
    <w:abstractNumId w:val="17"/>
  </w:num>
  <w:num w:numId="29" w16cid:durableId="617640189">
    <w:abstractNumId w:val="12"/>
  </w:num>
  <w:num w:numId="30" w16cid:durableId="1515220593">
    <w:abstractNumId w:val="25"/>
  </w:num>
  <w:num w:numId="31" w16cid:durableId="1774277350">
    <w:abstractNumId w:val="1"/>
  </w:num>
  <w:num w:numId="32" w16cid:durableId="2390994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100DE1"/>
    <w:rsid w:val="0010748A"/>
    <w:rsid w:val="0017497A"/>
    <w:rsid w:val="00185932"/>
    <w:rsid w:val="00192777"/>
    <w:rsid w:val="001D4146"/>
    <w:rsid w:val="002230EF"/>
    <w:rsid w:val="00236325"/>
    <w:rsid w:val="002372D9"/>
    <w:rsid w:val="002577DC"/>
    <w:rsid w:val="00257A0B"/>
    <w:rsid w:val="00295E1E"/>
    <w:rsid w:val="002A0C57"/>
    <w:rsid w:val="002E2069"/>
    <w:rsid w:val="00397A7D"/>
    <w:rsid w:val="003D5108"/>
    <w:rsid w:val="0041069B"/>
    <w:rsid w:val="00415653"/>
    <w:rsid w:val="00415C24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A556D"/>
    <w:rsid w:val="005E2DC1"/>
    <w:rsid w:val="005F668B"/>
    <w:rsid w:val="006178E1"/>
    <w:rsid w:val="006242E8"/>
    <w:rsid w:val="00685E8F"/>
    <w:rsid w:val="00693D80"/>
    <w:rsid w:val="006B7D18"/>
    <w:rsid w:val="006D77EF"/>
    <w:rsid w:val="006E1970"/>
    <w:rsid w:val="006E34BE"/>
    <w:rsid w:val="00715314"/>
    <w:rsid w:val="00722F4A"/>
    <w:rsid w:val="00744F0C"/>
    <w:rsid w:val="00756EF3"/>
    <w:rsid w:val="00763B80"/>
    <w:rsid w:val="0077736A"/>
    <w:rsid w:val="00787C20"/>
    <w:rsid w:val="007C4C5F"/>
    <w:rsid w:val="007D1C6B"/>
    <w:rsid w:val="007D788D"/>
    <w:rsid w:val="007F54BD"/>
    <w:rsid w:val="00842B13"/>
    <w:rsid w:val="00856EB0"/>
    <w:rsid w:val="008627A7"/>
    <w:rsid w:val="008953F3"/>
    <w:rsid w:val="008959AC"/>
    <w:rsid w:val="008975C9"/>
    <w:rsid w:val="008C7B6C"/>
    <w:rsid w:val="008E352C"/>
    <w:rsid w:val="008E497E"/>
    <w:rsid w:val="009550B6"/>
    <w:rsid w:val="009A223F"/>
    <w:rsid w:val="009A7135"/>
    <w:rsid w:val="009B5901"/>
    <w:rsid w:val="00A07F0F"/>
    <w:rsid w:val="00A60D0D"/>
    <w:rsid w:val="00A6156E"/>
    <w:rsid w:val="00A84793"/>
    <w:rsid w:val="00B20871"/>
    <w:rsid w:val="00B319F6"/>
    <w:rsid w:val="00B65D0D"/>
    <w:rsid w:val="00B7208C"/>
    <w:rsid w:val="00B854D0"/>
    <w:rsid w:val="00BB2365"/>
    <w:rsid w:val="00BE13DA"/>
    <w:rsid w:val="00C2164B"/>
    <w:rsid w:val="00C35596"/>
    <w:rsid w:val="00CF47F5"/>
    <w:rsid w:val="00D01277"/>
    <w:rsid w:val="00D15FA7"/>
    <w:rsid w:val="00D7007F"/>
    <w:rsid w:val="00D7592C"/>
    <w:rsid w:val="00D76651"/>
    <w:rsid w:val="00D833F6"/>
    <w:rsid w:val="00DD34DC"/>
    <w:rsid w:val="00DE7393"/>
    <w:rsid w:val="00E00DCA"/>
    <w:rsid w:val="00E31E5E"/>
    <w:rsid w:val="00E471C9"/>
    <w:rsid w:val="00E715C3"/>
    <w:rsid w:val="00E84766"/>
    <w:rsid w:val="00E950D0"/>
    <w:rsid w:val="00EA4BF1"/>
    <w:rsid w:val="00EE5B5C"/>
    <w:rsid w:val="00EF11AF"/>
    <w:rsid w:val="00F41C05"/>
    <w:rsid w:val="00F86782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8678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678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678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67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67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7</cp:revision>
  <cp:lastPrinted>2022-02-16T20:14:00Z</cp:lastPrinted>
  <dcterms:created xsi:type="dcterms:W3CDTF">2022-02-19T13:20:00Z</dcterms:created>
  <dcterms:modified xsi:type="dcterms:W3CDTF">2022-09-07T12:21:00Z</dcterms:modified>
</cp:coreProperties>
</file>