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B4E9" w14:textId="02246F54" w:rsidR="00715314" w:rsidRPr="00517716" w:rsidRDefault="00715314" w:rsidP="00715314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header"/>
      <w:r w:rsidRPr="00517716">
        <w:rPr>
          <w:rFonts w:ascii="Open Sans" w:hAnsi="Open Sans" w:cs="Open Sans"/>
          <w:b/>
          <w:bCs/>
          <w:sz w:val="36"/>
          <w:szCs w:val="36"/>
        </w:rPr>
        <w:t>§</w:t>
      </w:r>
      <w:r w:rsidR="00953FED">
        <w:rPr>
          <w:rFonts w:ascii="Open Sans" w:hAnsi="Open Sans" w:cs="Open Sans"/>
          <w:b/>
          <w:bCs/>
          <w:sz w:val="36"/>
          <w:szCs w:val="36"/>
        </w:rPr>
        <w:t xml:space="preserve"> 177 BGB</w:t>
      </w:r>
      <w:r w:rsidRPr="00517716">
        <w:rPr>
          <w:rFonts w:ascii="Open Sans" w:hAnsi="Open Sans" w:cs="Open Sans"/>
          <w:b/>
          <w:bCs/>
          <w:sz w:val="36"/>
          <w:szCs w:val="36"/>
        </w:rPr>
        <w:t xml:space="preserve"> – </w:t>
      </w:r>
      <w:bookmarkEnd w:id="0"/>
      <w:r w:rsidR="00AE0EEE">
        <w:rPr>
          <w:rFonts w:ascii="Open Sans" w:hAnsi="Open Sans" w:cs="Open Sans"/>
          <w:b/>
          <w:bCs/>
          <w:sz w:val="36"/>
          <w:szCs w:val="36"/>
        </w:rPr>
        <w:t>Vertreter ohne Vertretungsmacht (</w:t>
      </w:r>
      <w:r w:rsidR="00953FED">
        <w:rPr>
          <w:rFonts w:ascii="Open Sans" w:hAnsi="Open Sans" w:cs="Open Sans"/>
          <w:b/>
          <w:bCs/>
          <w:sz w:val="36"/>
          <w:szCs w:val="36"/>
        </w:rPr>
        <w:t xml:space="preserve">falsus </w:t>
      </w:r>
      <w:proofErr w:type="spellStart"/>
      <w:r w:rsidR="00953FED">
        <w:rPr>
          <w:rFonts w:ascii="Open Sans" w:hAnsi="Open Sans" w:cs="Open Sans"/>
          <w:b/>
          <w:bCs/>
          <w:sz w:val="36"/>
          <w:szCs w:val="36"/>
        </w:rPr>
        <w:t>procurator</w:t>
      </w:r>
      <w:proofErr w:type="spellEnd"/>
      <w:r w:rsidR="00AE0EEE">
        <w:rPr>
          <w:rFonts w:ascii="Open Sans" w:hAnsi="Open Sans" w:cs="Open Sans"/>
          <w:b/>
          <w:bCs/>
          <w:sz w:val="36"/>
          <w:szCs w:val="36"/>
        </w:rPr>
        <w:t>)</w:t>
      </w:r>
    </w:p>
    <w:p w14:paraId="45E43FC9" w14:textId="5007893A" w:rsidR="00715314" w:rsidRDefault="00715314" w:rsidP="00715314">
      <w:pPr>
        <w:pStyle w:val="SchemaDefinitionenHeader"/>
      </w:pPr>
      <w:r>
        <w:t>Kurzs</w:t>
      </w:r>
      <w:r w:rsidRPr="00A90E7F">
        <w:t>chema</w:t>
      </w:r>
    </w:p>
    <w:p w14:paraId="1D18C97C" w14:textId="77777777" w:rsidR="00715314" w:rsidRDefault="00715314" w:rsidP="00715314">
      <w:pPr>
        <w:pStyle w:val="SchemaDefinitionenHeader"/>
      </w:pPr>
    </w:p>
    <w:bookmarkStart w:id="1" w:name="_Hlk126254989"/>
    <w:p w14:paraId="351373B4" w14:textId="0DB51D7E" w:rsidR="00715314" w:rsidRDefault="007C4158" w:rsidP="00715314">
      <w:pPr>
        <w:pStyle w:val="SchemaDefinitionenHeader"/>
        <w:numPr>
          <w:ilvl w:val="0"/>
          <w:numId w:val="1"/>
        </w:numPr>
        <w:ind w:left="720"/>
        <w:rPr>
          <w:rStyle w:val="Hyperlink"/>
          <w:b/>
          <w:bCs/>
          <w:color w:val="auto"/>
          <w:sz w:val="18"/>
          <w:szCs w:val="18"/>
          <w:u w:val="none"/>
        </w:rPr>
      </w:pPr>
      <w:r w:rsidRPr="005058DE">
        <w:fldChar w:fldCharType="begin"/>
      </w:r>
      <w:r w:rsidRPr="005058DE">
        <w:rPr>
          <w:sz w:val="18"/>
          <w:szCs w:val="18"/>
        </w:rPr>
        <w:instrText>HYPERLINK \l "Tatbestand"</w:instrText>
      </w:r>
      <w:r w:rsidRPr="005058DE">
        <w:fldChar w:fldCharType="separate"/>
      </w:r>
      <w:r w:rsidR="00953FED" w:rsidRPr="005058DE">
        <w:rPr>
          <w:rStyle w:val="Hyperlink"/>
          <w:b/>
          <w:bCs/>
          <w:color w:val="auto"/>
          <w:sz w:val="18"/>
          <w:szCs w:val="18"/>
          <w:u w:val="none"/>
        </w:rPr>
        <w:t>Vertragsschluss</w:t>
      </w:r>
      <w:r w:rsidRPr="005058DE">
        <w:rPr>
          <w:rStyle w:val="Hyperlink"/>
          <w:b/>
          <w:bCs/>
          <w:color w:val="auto"/>
          <w:sz w:val="18"/>
          <w:szCs w:val="18"/>
          <w:u w:val="none"/>
        </w:rPr>
        <w:fldChar w:fldCharType="end"/>
      </w:r>
    </w:p>
    <w:p w14:paraId="783923B7" w14:textId="6D0B7A97" w:rsidR="00C4166E" w:rsidRDefault="00C4166E" w:rsidP="00C4166E">
      <w:pPr>
        <w:pStyle w:val="SchemaDefinitionenHeader"/>
        <w:numPr>
          <w:ilvl w:val="0"/>
          <w:numId w:val="30"/>
        </w:numPr>
        <w:rPr>
          <w:rStyle w:val="Hyperlink"/>
          <w:b/>
          <w:bCs/>
          <w:color w:val="auto"/>
          <w:sz w:val="18"/>
          <w:szCs w:val="18"/>
          <w:u w:val="none"/>
        </w:rPr>
      </w:pPr>
      <w:r>
        <w:rPr>
          <w:rStyle w:val="Hyperlink"/>
          <w:b/>
          <w:bCs/>
          <w:color w:val="auto"/>
          <w:sz w:val="18"/>
          <w:szCs w:val="18"/>
          <w:u w:val="none"/>
        </w:rPr>
        <w:t>Willenserklärung des Vertragspartners</w:t>
      </w:r>
    </w:p>
    <w:p w14:paraId="6C6ADF20" w14:textId="221688E1" w:rsidR="00C4166E" w:rsidRDefault="00C4166E" w:rsidP="00C4166E">
      <w:pPr>
        <w:pStyle w:val="SchemaDefinitionenHeader"/>
        <w:numPr>
          <w:ilvl w:val="0"/>
          <w:numId w:val="30"/>
        </w:numPr>
        <w:rPr>
          <w:rStyle w:val="Hyperlink"/>
          <w:b/>
          <w:bCs/>
          <w:color w:val="auto"/>
          <w:sz w:val="18"/>
          <w:szCs w:val="18"/>
          <w:u w:val="none"/>
        </w:rPr>
      </w:pPr>
      <w:r>
        <w:rPr>
          <w:rStyle w:val="Hyperlink"/>
          <w:b/>
          <w:bCs/>
          <w:color w:val="auto"/>
          <w:sz w:val="18"/>
          <w:szCs w:val="18"/>
          <w:u w:val="none"/>
        </w:rPr>
        <w:t>Willenserklärung des Stellvertreters</w:t>
      </w:r>
    </w:p>
    <w:p w14:paraId="4B785D4F" w14:textId="7007A10D" w:rsidR="00160722" w:rsidRDefault="00C4166E" w:rsidP="00160722">
      <w:pPr>
        <w:pStyle w:val="SchemaDefinitionenHeader"/>
        <w:ind w:left="1080"/>
        <w:rPr>
          <w:rStyle w:val="Hyperlink"/>
          <w:color w:val="auto"/>
          <w:sz w:val="18"/>
          <w:szCs w:val="18"/>
          <w:u w:val="none"/>
        </w:rPr>
      </w:pPr>
      <w:r w:rsidRPr="00C4166E">
        <w:rPr>
          <w:rStyle w:val="Hyperlink"/>
          <w:color w:val="auto"/>
          <w:sz w:val="18"/>
          <w:szCs w:val="18"/>
          <w:u w:val="none"/>
        </w:rPr>
        <w:t>Die Willenserklärung des Stellvertreters wirkt gem. § 164 I BGB unmittelbar für und gegen den Vertretenen (Geschäftsherrn), wenn eine eigene Willenserklärung des Stellvertreters in fremdem Namen abgegeben wurde.</w:t>
      </w:r>
    </w:p>
    <w:p w14:paraId="4848CC79" w14:textId="77777777" w:rsidR="00160722" w:rsidRPr="00160722" w:rsidRDefault="00C4166E" w:rsidP="00160722">
      <w:pPr>
        <w:pStyle w:val="SchemaDefinitionenHeader"/>
        <w:numPr>
          <w:ilvl w:val="0"/>
          <w:numId w:val="31"/>
        </w:numPr>
        <w:rPr>
          <w:rStyle w:val="Hyperlink"/>
          <w:i/>
          <w:iCs/>
          <w:color w:val="auto"/>
          <w:sz w:val="18"/>
          <w:szCs w:val="18"/>
          <w:u w:val="none"/>
        </w:rPr>
      </w:pPr>
      <w:r w:rsidRPr="00160722">
        <w:rPr>
          <w:rStyle w:val="Hyperlink"/>
          <w:i/>
          <w:iCs/>
          <w:color w:val="auto"/>
          <w:sz w:val="18"/>
          <w:szCs w:val="18"/>
          <w:u w:val="none"/>
        </w:rPr>
        <w:t>Eigene Willenserklärung</w:t>
      </w:r>
    </w:p>
    <w:p w14:paraId="6217C1E6" w14:textId="28A11FAC" w:rsidR="00C4166E" w:rsidRPr="00160722" w:rsidRDefault="00C4166E" w:rsidP="00160722">
      <w:pPr>
        <w:pStyle w:val="SchemaDefinitionenHeader"/>
        <w:numPr>
          <w:ilvl w:val="0"/>
          <w:numId w:val="31"/>
        </w:numPr>
        <w:rPr>
          <w:i/>
          <w:iCs/>
          <w:color w:val="auto"/>
          <w:sz w:val="18"/>
          <w:szCs w:val="18"/>
        </w:rPr>
      </w:pPr>
      <w:r w:rsidRPr="00160722">
        <w:rPr>
          <w:rStyle w:val="Hyperlink"/>
          <w:i/>
          <w:iCs/>
          <w:color w:val="auto"/>
          <w:sz w:val="18"/>
          <w:szCs w:val="18"/>
          <w:u w:val="none"/>
        </w:rPr>
        <w:t>In fremdem Namen</w:t>
      </w:r>
    </w:p>
    <w:p w14:paraId="76AE3BB2" w14:textId="6E42E8C9" w:rsidR="00715314" w:rsidRPr="005058DE" w:rsidRDefault="00C4166E" w:rsidP="00715314">
      <w:pPr>
        <w:pStyle w:val="SchemaDefinitionenHeader"/>
        <w:numPr>
          <w:ilvl w:val="0"/>
          <w:numId w:val="1"/>
        </w:numPr>
        <w:ind w:left="720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>Schwebende Unwirksamkeit gem. § 177 I BGB</w:t>
      </w:r>
    </w:p>
    <w:p w14:paraId="153517D3" w14:textId="4AA0C762" w:rsidR="00715314" w:rsidRPr="00160722" w:rsidRDefault="00160722" w:rsidP="00715314">
      <w:pPr>
        <w:pStyle w:val="SchemaDefinitionenHeader"/>
        <w:numPr>
          <w:ilvl w:val="0"/>
          <w:numId w:val="23"/>
        </w:numPr>
        <w:rPr>
          <w:b/>
          <w:bCs/>
          <w:color w:val="auto"/>
          <w:sz w:val="18"/>
          <w:szCs w:val="18"/>
        </w:rPr>
      </w:pPr>
      <w:r w:rsidRPr="00160722">
        <w:rPr>
          <w:b/>
          <w:bCs/>
          <w:color w:val="auto"/>
          <w:sz w:val="18"/>
          <w:szCs w:val="18"/>
        </w:rPr>
        <w:t>Vertragsschluss im Namen eines anderen</w:t>
      </w:r>
    </w:p>
    <w:p w14:paraId="35FA6390" w14:textId="072B5A9D" w:rsidR="00953FED" w:rsidRPr="00160722" w:rsidRDefault="00160722" w:rsidP="00715314">
      <w:pPr>
        <w:pStyle w:val="SchemaDefinitionenHeader"/>
        <w:numPr>
          <w:ilvl w:val="0"/>
          <w:numId w:val="23"/>
        </w:numPr>
        <w:rPr>
          <w:b/>
          <w:bCs/>
          <w:color w:val="auto"/>
          <w:sz w:val="18"/>
          <w:szCs w:val="18"/>
        </w:rPr>
      </w:pPr>
      <w:r w:rsidRPr="00160722">
        <w:rPr>
          <w:b/>
          <w:bCs/>
          <w:color w:val="auto"/>
          <w:sz w:val="18"/>
          <w:szCs w:val="18"/>
        </w:rPr>
        <w:t>Fehlende Vertretungsmacht</w:t>
      </w:r>
    </w:p>
    <w:p w14:paraId="6C3B65FD" w14:textId="4D2EEDC6" w:rsidR="00C4166E" w:rsidRDefault="00953FED" w:rsidP="00C4166E">
      <w:pPr>
        <w:pStyle w:val="SchemaDefinitionenHeader"/>
        <w:ind w:left="1080"/>
        <w:rPr>
          <w:color w:val="auto"/>
          <w:sz w:val="18"/>
          <w:szCs w:val="18"/>
        </w:rPr>
      </w:pPr>
      <w:r w:rsidRPr="005058DE">
        <w:rPr>
          <w:color w:val="auto"/>
          <w:sz w:val="18"/>
          <w:szCs w:val="18"/>
        </w:rPr>
        <w:t>Fehlt es an der Vertretungsmacht, hängt die Wirksamkeit des Vertrages von der Genehmigung des Geschäftsherrn ab.</w:t>
      </w:r>
    </w:p>
    <w:p w14:paraId="1C64AEF5" w14:textId="2D8A638F" w:rsidR="00C4166E" w:rsidRPr="00160722" w:rsidRDefault="00C4166E" w:rsidP="00C4166E">
      <w:pPr>
        <w:pStyle w:val="SchemaDefinitionenHeader"/>
        <w:numPr>
          <w:ilvl w:val="1"/>
          <w:numId w:val="23"/>
        </w:numPr>
        <w:rPr>
          <w:i/>
          <w:iCs/>
          <w:color w:val="auto"/>
          <w:sz w:val="18"/>
          <w:szCs w:val="18"/>
        </w:rPr>
      </w:pPr>
      <w:r w:rsidRPr="00160722">
        <w:rPr>
          <w:i/>
          <w:iCs/>
          <w:color w:val="auto"/>
          <w:sz w:val="18"/>
          <w:szCs w:val="18"/>
        </w:rPr>
        <w:t>Genehmigung des Vertretenen, §§ 182, 184 I BGB</w:t>
      </w:r>
    </w:p>
    <w:p w14:paraId="311A31E7" w14:textId="0EA14FE9" w:rsidR="00C4166E" w:rsidRPr="00160722" w:rsidRDefault="00C4166E" w:rsidP="00C4166E">
      <w:pPr>
        <w:pStyle w:val="SchemaDefinitionenHeader"/>
        <w:numPr>
          <w:ilvl w:val="1"/>
          <w:numId w:val="23"/>
        </w:numPr>
        <w:rPr>
          <w:i/>
          <w:iCs/>
          <w:color w:val="auto"/>
          <w:sz w:val="18"/>
          <w:szCs w:val="18"/>
        </w:rPr>
      </w:pPr>
      <w:r w:rsidRPr="00160722">
        <w:rPr>
          <w:i/>
          <w:iCs/>
          <w:color w:val="auto"/>
          <w:sz w:val="18"/>
          <w:szCs w:val="18"/>
        </w:rPr>
        <w:t>Keine Unwirksamkeit der Genehmigung durch Aufforderung gem. § 177 II BGB</w:t>
      </w:r>
    </w:p>
    <w:p w14:paraId="126CDCB2" w14:textId="442655C4" w:rsidR="00C4166E" w:rsidRDefault="00C4166E" w:rsidP="00C4166E">
      <w:pPr>
        <w:pStyle w:val="SchemaDefinitionenHeader"/>
        <w:numPr>
          <w:ilvl w:val="1"/>
          <w:numId w:val="23"/>
        </w:numPr>
        <w:rPr>
          <w:i/>
          <w:iCs/>
          <w:color w:val="auto"/>
          <w:sz w:val="18"/>
          <w:szCs w:val="18"/>
        </w:rPr>
      </w:pPr>
      <w:r w:rsidRPr="00160722">
        <w:rPr>
          <w:i/>
          <w:iCs/>
          <w:color w:val="auto"/>
          <w:sz w:val="18"/>
          <w:szCs w:val="18"/>
        </w:rPr>
        <w:t>Keine Unwirksamkeit der Genehmigung wegen Widerrufs, § 178 II BGB</w:t>
      </w:r>
    </w:p>
    <w:p w14:paraId="1FED1822" w14:textId="6CDCF4D6" w:rsidR="00AE3779" w:rsidRPr="00160722" w:rsidRDefault="00AE3779" w:rsidP="00AE3779">
      <w:pPr>
        <w:pStyle w:val="SchemaDefinitionenHeader"/>
        <w:ind w:left="1800"/>
        <w:rPr>
          <w:i/>
          <w:iCs/>
          <w:color w:val="auto"/>
          <w:sz w:val="18"/>
          <w:szCs w:val="18"/>
        </w:rPr>
      </w:pPr>
      <w:r w:rsidRPr="00AE3779">
        <w:rPr>
          <w:i/>
          <w:iCs/>
          <w:color w:val="auto"/>
          <w:sz w:val="18"/>
          <w:szCs w:val="18"/>
        </w:rPr>
        <w:t xml:space="preserve">Sonderkonstellation: </w:t>
      </w:r>
      <w:r w:rsidRPr="00AE3779">
        <w:rPr>
          <w:color w:val="auto"/>
          <w:sz w:val="18"/>
          <w:szCs w:val="18"/>
        </w:rPr>
        <w:t>Widerruf nach Innengenehmigung</w:t>
      </w:r>
    </w:p>
    <w:bookmarkEnd w:id="1"/>
    <w:p w14:paraId="40EF3CE0" w14:textId="77777777" w:rsidR="00715314" w:rsidRDefault="00715314">
      <w:pPr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5037A6D9" w14:textId="4090BDA9" w:rsidR="00D01277" w:rsidRPr="00715314" w:rsidRDefault="008953F3" w:rsidP="00D01277">
      <w:pPr>
        <w:jc w:val="both"/>
        <w:rPr>
          <w:rFonts w:ascii="Open Sans" w:hAnsi="Open Sans" w:cs="Open Sans"/>
          <w:b/>
          <w:bCs/>
          <w:sz w:val="36"/>
          <w:szCs w:val="36"/>
        </w:rPr>
      </w:pPr>
      <w:r w:rsidRPr="00715314">
        <w:rPr>
          <w:rFonts w:ascii="Open Sans" w:hAnsi="Open Sans" w:cs="Open Sans"/>
          <w:b/>
          <w:bCs/>
          <w:sz w:val="36"/>
          <w:szCs w:val="36"/>
        </w:rPr>
        <w:lastRenderedPageBreak/>
        <w:t xml:space="preserve">§ </w:t>
      </w:r>
      <w:r w:rsidR="005058DE">
        <w:rPr>
          <w:rFonts w:ascii="Open Sans" w:hAnsi="Open Sans" w:cs="Open Sans"/>
          <w:b/>
          <w:bCs/>
          <w:sz w:val="36"/>
          <w:szCs w:val="36"/>
        </w:rPr>
        <w:t>177 BGB</w:t>
      </w:r>
      <w:r w:rsidRPr="00715314">
        <w:rPr>
          <w:rFonts w:ascii="Open Sans" w:hAnsi="Open Sans" w:cs="Open Sans"/>
          <w:b/>
          <w:bCs/>
          <w:sz w:val="36"/>
          <w:szCs w:val="36"/>
        </w:rPr>
        <w:t xml:space="preserve"> </w:t>
      </w:r>
      <w:r w:rsidR="00D01277" w:rsidRPr="00715314">
        <w:rPr>
          <w:rFonts w:ascii="Open Sans" w:hAnsi="Open Sans" w:cs="Open Sans"/>
          <w:b/>
          <w:bCs/>
          <w:sz w:val="36"/>
          <w:szCs w:val="36"/>
        </w:rPr>
        <w:t xml:space="preserve">– </w:t>
      </w:r>
      <w:r w:rsidR="00AE0EEE">
        <w:rPr>
          <w:rFonts w:ascii="Open Sans" w:hAnsi="Open Sans" w:cs="Open Sans"/>
          <w:b/>
          <w:bCs/>
          <w:sz w:val="36"/>
          <w:szCs w:val="36"/>
        </w:rPr>
        <w:t>Vertreter ohne Vertretungsmacht (</w:t>
      </w:r>
      <w:r w:rsidR="005058DE">
        <w:rPr>
          <w:rFonts w:ascii="Open Sans" w:hAnsi="Open Sans" w:cs="Open Sans"/>
          <w:b/>
          <w:bCs/>
          <w:sz w:val="36"/>
          <w:szCs w:val="36"/>
        </w:rPr>
        <w:t xml:space="preserve">falsus </w:t>
      </w:r>
      <w:proofErr w:type="spellStart"/>
      <w:r w:rsidR="005058DE">
        <w:rPr>
          <w:rFonts w:ascii="Open Sans" w:hAnsi="Open Sans" w:cs="Open Sans"/>
          <w:b/>
          <w:bCs/>
          <w:sz w:val="36"/>
          <w:szCs w:val="36"/>
        </w:rPr>
        <w:t>procurator</w:t>
      </w:r>
      <w:proofErr w:type="spellEnd"/>
      <w:r w:rsidR="00AE0EEE">
        <w:rPr>
          <w:rFonts w:ascii="Open Sans" w:hAnsi="Open Sans" w:cs="Open Sans"/>
          <w:b/>
          <w:bCs/>
          <w:sz w:val="36"/>
          <w:szCs w:val="36"/>
        </w:rPr>
        <w:t>)</w:t>
      </w:r>
    </w:p>
    <w:p w14:paraId="0208BC8F" w14:textId="0FB48206" w:rsidR="00D01277" w:rsidRDefault="00D01277" w:rsidP="00D01277">
      <w:pPr>
        <w:pStyle w:val="SchemaDefinitionenHeader"/>
      </w:pPr>
      <w:r w:rsidRPr="00A90E7F">
        <w:t>Schema</w:t>
      </w:r>
    </w:p>
    <w:p w14:paraId="243678BE" w14:textId="77777777" w:rsidR="00D01277" w:rsidRDefault="00D01277" w:rsidP="00D01277">
      <w:pPr>
        <w:pStyle w:val="Tatbestandberschriften"/>
        <w:tabs>
          <w:tab w:val="left" w:pos="3965"/>
        </w:tabs>
        <w:spacing w:after="0"/>
      </w:pPr>
    </w:p>
    <w:p w14:paraId="44357CF3" w14:textId="1896084B" w:rsidR="00D01277" w:rsidRDefault="005058DE" w:rsidP="00D01277">
      <w:pPr>
        <w:pStyle w:val="Tatbestandberschriften"/>
        <w:tabs>
          <w:tab w:val="left" w:pos="3965"/>
        </w:tabs>
        <w:spacing w:after="0"/>
        <w:rPr>
          <w:b w:val="0"/>
          <w:bCs/>
        </w:rPr>
      </w:pPr>
      <w:r>
        <w:t xml:space="preserve">Tipp: </w:t>
      </w:r>
      <w:r w:rsidRPr="005058DE">
        <w:rPr>
          <w:b w:val="0"/>
          <w:bCs/>
        </w:rPr>
        <w:t>Die §§ 177 ff. lassen sich systematisch gut anhand der §§ 108 ff. lernen, da sie ähnliche Regelungen und Konzepte, wie etwa die schwebende Unwirksamkeit, aufweisen.</w:t>
      </w:r>
    </w:p>
    <w:p w14:paraId="4EC8F2AF" w14:textId="0E130612" w:rsidR="005058DE" w:rsidRDefault="005058DE" w:rsidP="00D01277">
      <w:pPr>
        <w:pStyle w:val="Tatbestandberschriften"/>
        <w:tabs>
          <w:tab w:val="left" w:pos="3965"/>
        </w:tabs>
        <w:spacing w:after="0"/>
        <w:rPr>
          <w:b w:val="0"/>
          <w:bCs/>
        </w:rPr>
      </w:pPr>
    </w:p>
    <w:p w14:paraId="0ADC9E49" w14:textId="4525DC62" w:rsidR="005058DE" w:rsidRDefault="005058DE" w:rsidP="00AE0EEE">
      <w:pPr>
        <w:pStyle w:val="Tatbestandberschriften"/>
        <w:tabs>
          <w:tab w:val="left" w:pos="3965"/>
        </w:tabs>
        <w:spacing w:after="0"/>
        <w:ind w:left="360"/>
        <w:rPr>
          <w:b w:val="0"/>
          <w:bCs/>
        </w:rPr>
      </w:pPr>
      <w:r w:rsidRPr="00AE0EEE">
        <w:rPr>
          <w:b w:val="0"/>
          <w:bCs/>
          <w:i/>
          <w:iCs/>
        </w:rPr>
        <w:t>Hinweis:</w:t>
      </w:r>
      <w:r>
        <w:rPr>
          <w:b w:val="0"/>
          <w:bCs/>
        </w:rPr>
        <w:t xml:space="preserve"> Der Aufbau der Prüfung weicht von dem bekannten Aufbau bei der Stellvertretung ab (Siehe hierzu das </w:t>
      </w:r>
      <w:r w:rsidRPr="005058DE">
        <w:rPr>
          <w:b w:val="0"/>
          <w:bCs/>
          <w:i/>
          <w:iCs/>
        </w:rPr>
        <w:t>Schema zur Stellvertretung</w:t>
      </w:r>
      <w:r>
        <w:rPr>
          <w:b w:val="0"/>
          <w:bCs/>
        </w:rPr>
        <w:t xml:space="preserve">, wo die Wirkung für und gegen den Vertretenen gem. § 164 I BGB unter der Wirksamkeit der konkreten Willenserklärung geprüft wird). Das liegt daran, dass § 164 I BGB an die Willenserklärung anknüpft, während § 177 I BGB systematisch abweichend die Wirksamkeit des ganzen Vertrags regelt. </w:t>
      </w:r>
      <w:r w:rsidR="00C4166E">
        <w:rPr>
          <w:b w:val="0"/>
          <w:bCs/>
        </w:rPr>
        <w:t xml:space="preserve">Daher empfiehlt es sich, wenn aus dem Sachverhalt zu entnehmen ist, dass es Probleme </w:t>
      </w:r>
      <w:proofErr w:type="spellStart"/>
      <w:r w:rsidR="00C4166E">
        <w:rPr>
          <w:b w:val="0"/>
          <w:bCs/>
        </w:rPr>
        <w:t>iRd</w:t>
      </w:r>
      <w:proofErr w:type="spellEnd"/>
      <w:r w:rsidR="00C4166E">
        <w:rPr>
          <w:b w:val="0"/>
          <w:bCs/>
        </w:rPr>
        <w:t xml:space="preserve"> Vertretungsmacht gibt, den Vertragsschluss </w:t>
      </w:r>
    </w:p>
    <w:p w14:paraId="6F472F2C" w14:textId="18E99FBA" w:rsidR="005058DE" w:rsidRDefault="005058DE" w:rsidP="00D01277">
      <w:pPr>
        <w:pStyle w:val="Tatbestandberschriften"/>
        <w:tabs>
          <w:tab w:val="left" w:pos="3965"/>
        </w:tabs>
        <w:spacing w:after="0"/>
        <w:rPr>
          <w:b w:val="0"/>
          <w:bCs/>
        </w:rPr>
      </w:pPr>
    </w:p>
    <w:p w14:paraId="55A1560C" w14:textId="134B4BCA" w:rsidR="005058DE" w:rsidRPr="00160722" w:rsidRDefault="005058DE" w:rsidP="005058DE">
      <w:pPr>
        <w:pStyle w:val="Tatbestandberschriften"/>
        <w:numPr>
          <w:ilvl w:val="0"/>
          <w:numId w:val="27"/>
        </w:numPr>
        <w:tabs>
          <w:tab w:val="left" w:pos="3965"/>
        </w:tabs>
        <w:spacing w:after="0"/>
      </w:pPr>
      <w:r w:rsidRPr="00160722">
        <w:t>Vertragsschluss</w:t>
      </w:r>
    </w:p>
    <w:p w14:paraId="3D59D449" w14:textId="0CB2D338" w:rsidR="00160722" w:rsidRPr="00160722" w:rsidRDefault="00160722" w:rsidP="00160722">
      <w:pPr>
        <w:pStyle w:val="Tatbestandberschriften"/>
        <w:numPr>
          <w:ilvl w:val="0"/>
          <w:numId w:val="33"/>
        </w:numPr>
        <w:tabs>
          <w:tab w:val="left" w:pos="3965"/>
        </w:tabs>
        <w:spacing w:after="0"/>
      </w:pPr>
      <w:r w:rsidRPr="00160722">
        <w:t>Willenserklärung des Vertragspartners</w:t>
      </w:r>
    </w:p>
    <w:p w14:paraId="435DC138" w14:textId="1B0A067C" w:rsidR="00160722" w:rsidRPr="00160722" w:rsidRDefault="00160722" w:rsidP="00160722">
      <w:pPr>
        <w:pStyle w:val="Tatbestandberschriften"/>
        <w:numPr>
          <w:ilvl w:val="0"/>
          <w:numId w:val="33"/>
        </w:numPr>
        <w:tabs>
          <w:tab w:val="left" w:pos="3965"/>
        </w:tabs>
        <w:spacing w:after="0"/>
      </w:pPr>
      <w:r w:rsidRPr="00160722">
        <w:t>Willenserklärung des Stellvertreters</w:t>
      </w:r>
    </w:p>
    <w:p w14:paraId="6C86764E" w14:textId="3C2553B2" w:rsidR="00160722" w:rsidRPr="00160722" w:rsidRDefault="00160722" w:rsidP="00160722">
      <w:pPr>
        <w:pStyle w:val="Tatbestandberschriften"/>
        <w:tabs>
          <w:tab w:val="left" w:pos="3965"/>
        </w:tabs>
        <w:spacing w:after="0"/>
        <w:ind w:left="1080"/>
        <w:rPr>
          <w:b w:val="0"/>
          <w:bCs/>
        </w:rPr>
      </w:pPr>
      <w:r w:rsidRPr="00160722">
        <w:rPr>
          <w:b w:val="0"/>
          <w:bCs/>
        </w:rPr>
        <w:t>Die Willenserklärung des Stellvertreters wirkt gem. § 164 I BGB unmittelbar für und gegen den Vertretenen (Geschäftsherrn), wenn eine eigene Willenserklärung des Stellvertreters</w:t>
      </w:r>
      <w:r>
        <w:rPr>
          <w:b w:val="0"/>
          <w:bCs/>
        </w:rPr>
        <w:t xml:space="preserve"> </w:t>
      </w:r>
      <w:r w:rsidRPr="00160722">
        <w:rPr>
          <w:b w:val="0"/>
          <w:bCs/>
        </w:rPr>
        <w:t>in fremdem Namen abgegeben wurde</w:t>
      </w:r>
      <w:r>
        <w:rPr>
          <w:b w:val="0"/>
          <w:bCs/>
        </w:rPr>
        <w:t xml:space="preserve"> (Siehe hierzu und zur Ausführung der unteren Voraussetzungen das </w:t>
      </w:r>
      <w:r w:rsidRPr="005058DE">
        <w:rPr>
          <w:b w:val="0"/>
          <w:bCs/>
          <w:i/>
          <w:iCs/>
        </w:rPr>
        <w:t>Schema zur Stellvertretung</w:t>
      </w:r>
      <w:r>
        <w:rPr>
          <w:b w:val="0"/>
          <w:bCs/>
        </w:rPr>
        <w:t>).</w:t>
      </w:r>
    </w:p>
    <w:p w14:paraId="76E8AE66" w14:textId="77777777" w:rsidR="00160722" w:rsidRPr="00160722" w:rsidRDefault="00160722" w:rsidP="00160722">
      <w:pPr>
        <w:pStyle w:val="Tatbestandberschriften"/>
        <w:numPr>
          <w:ilvl w:val="0"/>
          <w:numId w:val="34"/>
        </w:numPr>
        <w:tabs>
          <w:tab w:val="left" w:pos="3965"/>
        </w:tabs>
        <w:spacing w:after="0"/>
        <w:rPr>
          <w:b w:val="0"/>
          <w:bCs/>
          <w:i/>
          <w:iCs/>
        </w:rPr>
      </w:pPr>
      <w:r w:rsidRPr="00160722">
        <w:rPr>
          <w:b w:val="0"/>
          <w:bCs/>
          <w:i/>
          <w:iCs/>
        </w:rPr>
        <w:t>Eigene Willenserklärung</w:t>
      </w:r>
    </w:p>
    <w:p w14:paraId="45F43F65" w14:textId="3ADACC9E" w:rsidR="00160722" w:rsidRPr="00160722" w:rsidRDefault="00160722" w:rsidP="00160722">
      <w:pPr>
        <w:pStyle w:val="Tatbestandberschriften"/>
        <w:numPr>
          <w:ilvl w:val="0"/>
          <w:numId w:val="34"/>
        </w:numPr>
        <w:tabs>
          <w:tab w:val="left" w:pos="3965"/>
        </w:tabs>
        <w:spacing w:after="0"/>
        <w:rPr>
          <w:b w:val="0"/>
          <w:bCs/>
          <w:i/>
          <w:iCs/>
        </w:rPr>
      </w:pPr>
      <w:r w:rsidRPr="00160722">
        <w:rPr>
          <w:b w:val="0"/>
          <w:bCs/>
          <w:i/>
          <w:iCs/>
        </w:rPr>
        <w:t>In fremdem Namen</w:t>
      </w:r>
    </w:p>
    <w:p w14:paraId="5BC5B043" w14:textId="1F220E28" w:rsidR="00ED3CA5" w:rsidRDefault="00160722" w:rsidP="00ED3CA5">
      <w:pPr>
        <w:pStyle w:val="Tatbestandberschriften"/>
        <w:tabs>
          <w:tab w:val="left" w:pos="3965"/>
        </w:tabs>
        <w:spacing w:after="0"/>
        <w:ind w:left="1440"/>
        <w:rPr>
          <w:b w:val="0"/>
          <w:bCs/>
        </w:rPr>
      </w:pPr>
      <w:r w:rsidRPr="00A571C3">
        <w:t>Hinweis:</w:t>
      </w:r>
      <w:r>
        <w:rPr>
          <w:b w:val="0"/>
          <w:bCs/>
        </w:rPr>
        <w:t xml:space="preserve"> </w:t>
      </w:r>
      <w:r w:rsidR="00152282">
        <w:rPr>
          <w:b w:val="0"/>
          <w:bCs/>
        </w:rPr>
        <w:t xml:space="preserve">Wenn sich aus dem Sachverhalt abzeichnet, dass es Probleme bezüglich der Vertretungsmacht gibt, </w:t>
      </w:r>
      <w:r w:rsidR="00FB6638">
        <w:rPr>
          <w:b w:val="0"/>
          <w:bCs/>
        </w:rPr>
        <w:t>empfiehlt es sich,</w:t>
      </w:r>
      <w:r w:rsidR="00152282">
        <w:rPr>
          <w:b w:val="0"/>
          <w:bCs/>
        </w:rPr>
        <w:t xml:space="preserve"> das</w:t>
      </w:r>
      <w:r w:rsidR="00490BC4">
        <w:rPr>
          <w:b w:val="0"/>
          <w:bCs/>
        </w:rPr>
        <w:t xml:space="preserve"> Tatbestandsmerkmal </w:t>
      </w:r>
      <w:r w:rsidR="00490BC4" w:rsidRPr="00152282">
        <w:rPr>
          <w:b w:val="0"/>
          <w:bCs/>
          <w:i/>
          <w:iCs/>
        </w:rPr>
        <w:t>im Rahmen der Vertretungsmacht</w:t>
      </w:r>
      <w:r w:rsidR="00490BC4">
        <w:rPr>
          <w:b w:val="0"/>
          <w:bCs/>
        </w:rPr>
        <w:t xml:space="preserve"> </w:t>
      </w:r>
      <w:r w:rsidR="00FB6638">
        <w:rPr>
          <w:b w:val="0"/>
          <w:bCs/>
        </w:rPr>
        <w:t>nicht als Voraussetzung des § 164 I BGB bei der Willenserklärung</w:t>
      </w:r>
      <w:r w:rsidR="00644C3E">
        <w:rPr>
          <w:b w:val="0"/>
          <w:bCs/>
        </w:rPr>
        <w:t xml:space="preserve"> zu prüfen. Mit </w:t>
      </w:r>
      <w:r w:rsidR="00BF4FBB">
        <w:rPr>
          <w:b w:val="0"/>
          <w:bCs/>
        </w:rPr>
        <w:t xml:space="preserve">der Feststellung der Prüfungspunkte </w:t>
      </w:r>
      <w:r w:rsidR="00BF4FBB" w:rsidRPr="00A571C3">
        <w:rPr>
          <w:b w:val="0"/>
          <w:bCs/>
          <w:i/>
          <w:iCs/>
        </w:rPr>
        <w:t>eigene Willenserklärung in fremdem Namen</w:t>
      </w:r>
      <w:r w:rsidR="00BF4FBB">
        <w:rPr>
          <w:b w:val="0"/>
          <w:bCs/>
        </w:rPr>
        <w:t xml:space="preserve"> genügt es</w:t>
      </w:r>
      <w:r w:rsidR="00A571C3">
        <w:rPr>
          <w:b w:val="0"/>
          <w:bCs/>
        </w:rPr>
        <w:t>,</w:t>
      </w:r>
      <w:r w:rsidR="00BF4FBB">
        <w:rPr>
          <w:b w:val="0"/>
          <w:bCs/>
        </w:rPr>
        <w:t xml:space="preserve"> unter dem Punkt Vertragsschluss festzustellen, dass </w:t>
      </w:r>
      <w:r w:rsidR="001007D9">
        <w:rPr>
          <w:b w:val="0"/>
          <w:bCs/>
        </w:rPr>
        <w:t>die Willenserklärung stellvertretend für den Geschäftsherrn abgegeben wurde</w:t>
      </w:r>
      <w:r w:rsidR="00A571C3">
        <w:rPr>
          <w:b w:val="0"/>
          <w:bCs/>
        </w:rPr>
        <w:t>. D</w:t>
      </w:r>
      <w:r w:rsidR="001007D9">
        <w:rPr>
          <w:b w:val="0"/>
          <w:bCs/>
        </w:rPr>
        <w:t>ie Wirkung für und gegen ihn wird dann erst bei der Wirksamkeit des Vertrages diskutiert.</w:t>
      </w:r>
    </w:p>
    <w:p w14:paraId="4F7FCD4A" w14:textId="77777777" w:rsidR="00160722" w:rsidRDefault="00160722" w:rsidP="00160722">
      <w:pPr>
        <w:pStyle w:val="Tatbestandberschriften"/>
        <w:tabs>
          <w:tab w:val="left" w:pos="3965"/>
        </w:tabs>
        <w:spacing w:after="0"/>
        <w:ind w:left="1080"/>
        <w:rPr>
          <w:b w:val="0"/>
          <w:bCs/>
        </w:rPr>
      </w:pPr>
    </w:p>
    <w:p w14:paraId="76AC88B1" w14:textId="748266B3" w:rsidR="005058DE" w:rsidRPr="008A1388" w:rsidRDefault="005058DE" w:rsidP="005058DE">
      <w:pPr>
        <w:pStyle w:val="Tatbestandberschriften"/>
        <w:numPr>
          <w:ilvl w:val="0"/>
          <w:numId w:val="27"/>
        </w:numPr>
        <w:tabs>
          <w:tab w:val="left" w:pos="3965"/>
        </w:tabs>
        <w:spacing w:after="0"/>
      </w:pPr>
      <w:r w:rsidRPr="008A1388">
        <w:t>Wirkung für und gegen den Vertretenen</w:t>
      </w:r>
    </w:p>
    <w:p w14:paraId="0F8CEE4B" w14:textId="209FCD78" w:rsidR="008245E1" w:rsidRDefault="008245E1" w:rsidP="008245E1">
      <w:pPr>
        <w:pStyle w:val="Tatbestandberschriften"/>
        <w:tabs>
          <w:tab w:val="left" w:pos="3965"/>
        </w:tabs>
        <w:spacing w:after="0"/>
        <w:ind w:left="1080"/>
        <w:rPr>
          <w:b w:val="0"/>
          <w:bCs/>
        </w:rPr>
      </w:pPr>
      <w:r>
        <w:rPr>
          <w:b w:val="0"/>
          <w:bCs/>
        </w:rPr>
        <w:t xml:space="preserve">Wurde der Vertrag ohne Vertretung im </w:t>
      </w:r>
      <w:r w:rsidR="00197A4E">
        <w:rPr>
          <w:b w:val="0"/>
          <w:bCs/>
        </w:rPr>
        <w:t>Namen</w:t>
      </w:r>
      <w:r>
        <w:rPr>
          <w:b w:val="0"/>
          <w:bCs/>
        </w:rPr>
        <w:t xml:space="preserve"> des Geschäftsherrn </w:t>
      </w:r>
      <w:r w:rsidR="00197A4E">
        <w:rPr>
          <w:b w:val="0"/>
          <w:bCs/>
        </w:rPr>
        <w:t>geschlossen, so hängt dessen Wirksamkeit von der Genehmigung des Geschäftsherrn ab, § 177 I BGB. Insoweit ist er schwebend unwirksam</w:t>
      </w:r>
      <w:r w:rsidR="005566B9">
        <w:rPr>
          <w:b w:val="0"/>
          <w:bCs/>
        </w:rPr>
        <w:t>.</w:t>
      </w:r>
    </w:p>
    <w:p w14:paraId="0FDFFD03" w14:textId="77777777" w:rsidR="00197A4E" w:rsidRDefault="00197A4E" w:rsidP="008245E1">
      <w:pPr>
        <w:pStyle w:val="Tatbestandberschriften"/>
        <w:tabs>
          <w:tab w:val="left" w:pos="3965"/>
        </w:tabs>
        <w:spacing w:after="0"/>
        <w:ind w:left="1080"/>
        <w:rPr>
          <w:b w:val="0"/>
          <w:bCs/>
        </w:rPr>
      </w:pPr>
    </w:p>
    <w:p w14:paraId="7865342A" w14:textId="10526366" w:rsidR="00197A4E" w:rsidRPr="00197A4E" w:rsidRDefault="00197A4E" w:rsidP="008245E1">
      <w:pPr>
        <w:pStyle w:val="Tatbestandberschriften"/>
        <w:tabs>
          <w:tab w:val="left" w:pos="3965"/>
        </w:tabs>
        <w:spacing w:after="0"/>
        <w:ind w:left="1080"/>
        <w:rPr>
          <w:b w:val="0"/>
          <w:bCs/>
          <w:color w:val="FF0000"/>
          <w14:textFill>
            <w14:solidFill>
              <w14:srgbClr w14:val="FF0000">
                <w14:lumMod w14:val="65000"/>
              </w14:srgbClr>
            </w14:solidFill>
          </w14:textFill>
        </w:rPr>
      </w:pPr>
      <w:commentRangeStart w:id="2"/>
      <w:r w:rsidRPr="00197A4E">
        <w:rPr>
          <w:b w:val="0"/>
          <w:bCs/>
          <w:color w:val="FF0000"/>
          <w14:textFill>
            <w14:solidFill>
              <w14:srgbClr w14:val="FF0000">
                <w14:lumMod w14:val="65000"/>
              </w14:srgbClr>
            </w14:solidFill>
          </w14:textFill>
        </w:rPr>
        <w:lastRenderedPageBreak/>
        <w:t>Hier die gleiche Grafik wie bei §§ 108 ff.</w:t>
      </w:r>
      <w:r>
        <w:rPr>
          <w:b w:val="0"/>
          <w:bCs/>
          <w:color w:val="FF0000"/>
          <w14:textFill>
            <w14:solidFill>
              <w14:srgbClr w14:val="FF0000">
                <w14:lumMod w14:val="65000"/>
              </w14:srgbClr>
            </w14:solidFill>
          </w14:textFill>
        </w:rPr>
        <w:t xml:space="preserve"> einfügen?</w:t>
      </w:r>
      <w:commentRangeEnd w:id="2"/>
      <w:r w:rsidR="00455F86">
        <w:rPr>
          <w:rStyle w:val="Kommentarzeichen"/>
          <w:rFonts w:asciiTheme="minorHAnsi" w:hAnsiTheme="minorHAnsi" w:cstheme="minorBidi"/>
          <w:b w:val="0"/>
          <w:color w:val="auto"/>
          <w14:textFill>
            <w14:solidFill>
              <w14:srgbClr w14:val="000000">
                <w14:lumMod w14:val="65000"/>
              </w14:srgbClr>
            </w14:solidFill>
          </w14:textFill>
        </w:rPr>
        <w:commentReference w:id="2"/>
      </w:r>
    </w:p>
    <w:p w14:paraId="5ABD60C9" w14:textId="77777777" w:rsidR="00197A4E" w:rsidRDefault="00197A4E" w:rsidP="008245E1">
      <w:pPr>
        <w:pStyle w:val="Tatbestandberschriften"/>
        <w:tabs>
          <w:tab w:val="left" w:pos="3965"/>
        </w:tabs>
        <w:spacing w:after="0"/>
        <w:ind w:left="1080"/>
        <w:rPr>
          <w:b w:val="0"/>
          <w:bCs/>
        </w:rPr>
      </w:pPr>
    </w:p>
    <w:p w14:paraId="4692574F" w14:textId="79905E26" w:rsidR="005058DE" w:rsidRPr="008A1388" w:rsidRDefault="005566B9" w:rsidP="005058DE">
      <w:pPr>
        <w:pStyle w:val="Tatbestandberschriften"/>
        <w:numPr>
          <w:ilvl w:val="0"/>
          <w:numId w:val="28"/>
        </w:numPr>
        <w:tabs>
          <w:tab w:val="left" w:pos="3965"/>
        </w:tabs>
        <w:spacing w:after="0"/>
      </w:pPr>
      <w:r w:rsidRPr="008A1388">
        <w:t>Vertragsschluss im Namen eines anderen</w:t>
      </w:r>
    </w:p>
    <w:p w14:paraId="539CC190" w14:textId="76E06B53" w:rsidR="008A1388" w:rsidRPr="008A1388" w:rsidRDefault="008A1388" w:rsidP="008A1388">
      <w:pPr>
        <w:pStyle w:val="Tatbestandberschriften"/>
        <w:tabs>
          <w:tab w:val="left" w:pos="3965"/>
        </w:tabs>
        <w:spacing w:after="0"/>
        <w:ind w:left="1440"/>
        <w:rPr>
          <w:b w:val="0"/>
          <w:bCs/>
        </w:rPr>
      </w:pPr>
      <w:r w:rsidRPr="008A1388">
        <w:rPr>
          <w:b w:val="0"/>
          <w:bCs/>
        </w:rPr>
        <w:t xml:space="preserve">An dieser Stelle kann auf den Prüfungspunkt </w:t>
      </w:r>
      <w:r w:rsidRPr="008A1388">
        <w:rPr>
          <w:b w:val="0"/>
          <w:bCs/>
          <w:i/>
          <w:iCs/>
        </w:rPr>
        <w:t>Vertragsschluss</w:t>
      </w:r>
      <w:r w:rsidRPr="008A1388">
        <w:rPr>
          <w:b w:val="0"/>
          <w:bCs/>
        </w:rPr>
        <w:t xml:space="preserve"> verwiesen werden.</w:t>
      </w:r>
    </w:p>
    <w:p w14:paraId="084B9D24" w14:textId="5F2F7782" w:rsidR="005566B9" w:rsidRPr="008A1388" w:rsidRDefault="005566B9" w:rsidP="005058DE">
      <w:pPr>
        <w:pStyle w:val="Tatbestandberschriften"/>
        <w:numPr>
          <w:ilvl w:val="0"/>
          <w:numId w:val="28"/>
        </w:numPr>
        <w:tabs>
          <w:tab w:val="left" w:pos="3965"/>
        </w:tabs>
        <w:spacing w:after="0"/>
      </w:pPr>
      <w:r w:rsidRPr="008A1388">
        <w:t xml:space="preserve">Fehlende </w:t>
      </w:r>
      <w:r w:rsidR="008A1388" w:rsidRPr="008A1388">
        <w:t>V</w:t>
      </w:r>
      <w:r w:rsidRPr="008A1388">
        <w:t>ertretungsmacht</w:t>
      </w:r>
    </w:p>
    <w:p w14:paraId="3FB03691" w14:textId="5A7E131C" w:rsidR="008A1388" w:rsidRDefault="005058DE" w:rsidP="003A1148">
      <w:pPr>
        <w:pStyle w:val="Tatbestandberschriften"/>
        <w:tabs>
          <w:tab w:val="left" w:pos="3965"/>
        </w:tabs>
        <w:spacing w:after="0"/>
        <w:ind w:left="1440"/>
        <w:rPr>
          <w:b w:val="0"/>
          <w:bCs/>
        </w:rPr>
      </w:pPr>
      <w:r w:rsidRPr="005058DE">
        <w:rPr>
          <w:b w:val="0"/>
          <w:bCs/>
        </w:rPr>
        <w:t>Fehlt es an der Vertretungsmacht, hängt die Wirksamkeit des Vertrages von der Genehmigung des Geschäftsherrn ab.</w:t>
      </w:r>
      <w:r w:rsidR="00F66B1B">
        <w:rPr>
          <w:b w:val="0"/>
          <w:bCs/>
        </w:rPr>
        <w:t xml:space="preserve"> Dieser Schwebezustand gilt grds. unbegrenz</w:t>
      </w:r>
      <w:r w:rsidR="00DF6C2F">
        <w:rPr>
          <w:b w:val="0"/>
          <w:bCs/>
        </w:rPr>
        <w:t>t</w:t>
      </w:r>
      <w:r w:rsidR="00F66B1B">
        <w:rPr>
          <w:b w:val="0"/>
          <w:bCs/>
        </w:rPr>
        <w:t xml:space="preserve"> lange</w:t>
      </w:r>
      <w:r w:rsidR="00DF6C2F">
        <w:rPr>
          <w:b w:val="0"/>
          <w:bCs/>
        </w:rPr>
        <w:t xml:space="preserve"> (</w:t>
      </w:r>
      <w:r w:rsidR="00DF6C2F" w:rsidRPr="00DF6C2F">
        <w:rPr>
          <w:b w:val="0"/>
          <w:bCs/>
        </w:rPr>
        <w:t xml:space="preserve">BeckOK BGB/Schäfer BGB § 177 </w:t>
      </w:r>
      <w:proofErr w:type="spellStart"/>
      <w:r w:rsidR="00DF6C2F" w:rsidRPr="00DF6C2F">
        <w:rPr>
          <w:b w:val="0"/>
          <w:bCs/>
        </w:rPr>
        <w:t>Rn</w:t>
      </w:r>
      <w:proofErr w:type="spellEnd"/>
      <w:r w:rsidR="00DF6C2F" w:rsidRPr="00DF6C2F">
        <w:rPr>
          <w:b w:val="0"/>
          <w:bCs/>
        </w:rPr>
        <w:t xml:space="preserve">. </w:t>
      </w:r>
      <w:hyperlink r:id="rId11" w:history="1">
        <w:r w:rsidR="00DF6C2F" w:rsidRPr="007C4158">
          <w:rPr>
            <w:rStyle w:val="Hyperlink"/>
            <w:b w:val="0"/>
            <w:bCs/>
            <w:color w:val="688AF8"/>
            <w:u w:val="none"/>
          </w:rPr>
          <w:t>34</w:t>
        </w:r>
      </w:hyperlink>
      <w:r w:rsidR="00DF6C2F">
        <w:rPr>
          <w:b w:val="0"/>
          <w:bCs/>
        </w:rPr>
        <w:t>).</w:t>
      </w:r>
    </w:p>
    <w:p w14:paraId="7D7ED750" w14:textId="77777777" w:rsidR="00BF297A" w:rsidRDefault="00BF297A" w:rsidP="003A1148">
      <w:pPr>
        <w:pStyle w:val="Tatbestandberschriften"/>
        <w:tabs>
          <w:tab w:val="left" w:pos="3965"/>
        </w:tabs>
        <w:spacing w:after="0"/>
        <w:ind w:left="1440"/>
        <w:rPr>
          <w:b w:val="0"/>
          <w:bCs/>
        </w:rPr>
      </w:pPr>
    </w:p>
    <w:p w14:paraId="44500BE5" w14:textId="49DD7D66" w:rsidR="003A1148" w:rsidRPr="00712496" w:rsidRDefault="003A1148" w:rsidP="003A1148">
      <w:pPr>
        <w:pStyle w:val="Tatbestandberschriften"/>
        <w:numPr>
          <w:ilvl w:val="0"/>
          <w:numId w:val="28"/>
        </w:numPr>
        <w:tabs>
          <w:tab w:val="left" w:pos="3965"/>
        </w:tabs>
        <w:spacing w:after="0"/>
      </w:pPr>
      <w:r w:rsidRPr="00712496">
        <w:t>Rechtsfolge: Genehmigungsfähigkeit</w:t>
      </w:r>
    </w:p>
    <w:p w14:paraId="66A848BA" w14:textId="7496D872" w:rsidR="003A1148" w:rsidRDefault="007E3813" w:rsidP="003A1148">
      <w:pPr>
        <w:pStyle w:val="Tatbestandberschriften"/>
        <w:tabs>
          <w:tab w:val="left" w:pos="3965"/>
        </w:tabs>
        <w:spacing w:after="0"/>
        <w:ind w:left="1440"/>
        <w:rPr>
          <w:b w:val="0"/>
          <w:bCs/>
        </w:rPr>
      </w:pPr>
      <w:r>
        <w:rPr>
          <w:b w:val="0"/>
          <w:bCs/>
        </w:rPr>
        <w:t>Liegt ein Vertragsschluss in fremdem Namen ohne Vertretungsmacht vor, so ist zunächst festzustellen, dass dieser schweben</w:t>
      </w:r>
      <w:r w:rsidR="00AB573A">
        <w:rPr>
          <w:b w:val="0"/>
          <w:bCs/>
        </w:rPr>
        <w:t>d</w:t>
      </w:r>
      <w:r>
        <w:rPr>
          <w:b w:val="0"/>
          <w:bCs/>
        </w:rPr>
        <w:t xml:space="preserve"> unwirksam ist. Insoweit </w:t>
      </w:r>
      <w:r w:rsidR="00AB573A">
        <w:rPr>
          <w:b w:val="0"/>
          <w:bCs/>
        </w:rPr>
        <w:t>erwachsen</w:t>
      </w:r>
      <w:r>
        <w:rPr>
          <w:b w:val="0"/>
          <w:bCs/>
        </w:rPr>
        <w:t xml:space="preserve"> keine Ansprüche aus ih</w:t>
      </w:r>
      <w:r w:rsidR="00AB573A">
        <w:rPr>
          <w:b w:val="0"/>
          <w:bCs/>
        </w:rPr>
        <w:t>m. Zu prüfen ist ferner, ob eine mögliche Genehmigung</w:t>
      </w:r>
      <w:r w:rsidR="00B73C9B">
        <w:rPr>
          <w:b w:val="0"/>
          <w:bCs/>
        </w:rPr>
        <w:t xml:space="preserve"> </w:t>
      </w:r>
      <w:r w:rsidR="00AB573A">
        <w:rPr>
          <w:b w:val="0"/>
          <w:bCs/>
        </w:rPr>
        <w:t xml:space="preserve">des </w:t>
      </w:r>
      <w:r w:rsidR="00B73C9B">
        <w:rPr>
          <w:b w:val="0"/>
          <w:bCs/>
        </w:rPr>
        <w:t>Geschäftsherrn</w:t>
      </w:r>
      <w:r w:rsidR="00AB573A">
        <w:rPr>
          <w:b w:val="0"/>
          <w:bCs/>
        </w:rPr>
        <w:t xml:space="preserve"> </w:t>
      </w:r>
      <w:r w:rsidR="00B73C9B">
        <w:rPr>
          <w:b w:val="0"/>
          <w:bCs/>
        </w:rPr>
        <w:t xml:space="preserve">oder ihre Versagung </w:t>
      </w:r>
      <w:r w:rsidR="00AB573A">
        <w:rPr>
          <w:b w:val="0"/>
          <w:bCs/>
        </w:rPr>
        <w:t>diesen Zustand beendet</w:t>
      </w:r>
      <w:r w:rsidR="00B73C9B">
        <w:rPr>
          <w:b w:val="0"/>
          <w:bCs/>
        </w:rPr>
        <w:t xml:space="preserve"> </w:t>
      </w:r>
      <w:r w:rsidR="008C014D">
        <w:rPr>
          <w:b w:val="0"/>
          <w:bCs/>
        </w:rPr>
        <w:t xml:space="preserve">und </w:t>
      </w:r>
      <w:r w:rsidR="00B73C9B">
        <w:rPr>
          <w:b w:val="0"/>
          <w:bCs/>
        </w:rPr>
        <w:t>entweder</w:t>
      </w:r>
      <w:r w:rsidR="008C014D">
        <w:rPr>
          <w:b w:val="0"/>
          <w:bCs/>
        </w:rPr>
        <w:t xml:space="preserve"> zur Wirksamkeit ex </w:t>
      </w:r>
      <w:proofErr w:type="spellStart"/>
      <w:r w:rsidR="008C014D">
        <w:rPr>
          <w:b w:val="0"/>
          <w:bCs/>
        </w:rPr>
        <w:t>tunc</w:t>
      </w:r>
      <w:proofErr w:type="spellEnd"/>
      <w:r w:rsidR="008C014D">
        <w:rPr>
          <w:b w:val="0"/>
          <w:bCs/>
        </w:rPr>
        <w:t xml:space="preserve"> oder zur endgültigen Unwirksamkeit führt.</w:t>
      </w:r>
    </w:p>
    <w:p w14:paraId="3D2ECAB5" w14:textId="77777777" w:rsidR="0072427B" w:rsidRDefault="0072427B" w:rsidP="003A1148">
      <w:pPr>
        <w:pStyle w:val="Tatbestandberschriften"/>
        <w:tabs>
          <w:tab w:val="left" w:pos="3965"/>
        </w:tabs>
        <w:spacing w:after="0"/>
        <w:ind w:left="1440"/>
        <w:rPr>
          <w:b w:val="0"/>
          <w:bCs/>
        </w:rPr>
      </w:pPr>
    </w:p>
    <w:p w14:paraId="316C8499" w14:textId="531919A6" w:rsidR="00B96F5B" w:rsidRPr="00937C2F" w:rsidRDefault="00B96F5B" w:rsidP="00B96F5B">
      <w:pPr>
        <w:pStyle w:val="Tatbestandberschriften"/>
        <w:numPr>
          <w:ilvl w:val="0"/>
          <w:numId w:val="35"/>
        </w:numPr>
        <w:tabs>
          <w:tab w:val="left" w:pos="3965"/>
        </w:tabs>
        <w:spacing w:after="0"/>
        <w:rPr>
          <w:b w:val="0"/>
          <w:bCs/>
          <w:i/>
          <w:iCs/>
        </w:rPr>
      </w:pPr>
      <w:r w:rsidRPr="00937C2F">
        <w:rPr>
          <w:b w:val="0"/>
          <w:bCs/>
          <w:i/>
          <w:iCs/>
        </w:rPr>
        <w:t>Keine Unwirksamkeit des Vertrages wegen Widerrufs, § 178 II BGB</w:t>
      </w:r>
    </w:p>
    <w:p w14:paraId="67E6C18A" w14:textId="7D7C64E3" w:rsidR="00387B3F" w:rsidRDefault="00EF4985" w:rsidP="00B96F5B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  <w:r>
        <w:rPr>
          <w:b w:val="0"/>
          <w:bCs/>
        </w:rPr>
        <w:t>Bis zur Genehmigung hat der</w:t>
      </w:r>
      <w:r w:rsidR="005654E0">
        <w:rPr>
          <w:b w:val="0"/>
          <w:bCs/>
        </w:rPr>
        <w:t xml:space="preserve"> schutzwürdige</w:t>
      </w:r>
      <w:r>
        <w:rPr>
          <w:b w:val="0"/>
          <w:bCs/>
        </w:rPr>
        <w:t xml:space="preserve"> Vertragspartner die Möglich</w:t>
      </w:r>
      <w:r w:rsidR="005654E0">
        <w:rPr>
          <w:b w:val="0"/>
          <w:bCs/>
        </w:rPr>
        <w:t>keit</w:t>
      </w:r>
      <w:r w:rsidR="00985311">
        <w:rPr>
          <w:b w:val="0"/>
          <w:bCs/>
        </w:rPr>
        <w:t xml:space="preserve">, Abstand von Vertrag zu nehmen. </w:t>
      </w:r>
      <w:r w:rsidR="00387B3F">
        <w:rPr>
          <w:b w:val="0"/>
          <w:bCs/>
        </w:rPr>
        <w:t xml:space="preserve">Wichtig ist, dass diese Möglichkeit nur </w:t>
      </w:r>
      <w:r w:rsidR="00C367EB">
        <w:rPr>
          <w:b w:val="0"/>
          <w:bCs/>
        </w:rPr>
        <w:t xml:space="preserve">während der Dauer der schwebenden Unwirksamkeit gilt, ab der Genehmigung </w:t>
      </w:r>
      <w:r w:rsidR="008C3165">
        <w:rPr>
          <w:b w:val="0"/>
          <w:bCs/>
        </w:rPr>
        <w:t xml:space="preserve">ist </w:t>
      </w:r>
      <w:r w:rsidR="00C367EB">
        <w:rPr>
          <w:b w:val="0"/>
          <w:bCs/>
        </w:rPr>
        <w:t>das Widerrufsrecht</w:t>
      </w:r>
      <w:r w:rsidR="008C3165">
        <w:rPr>
          <w:b w:val="0"/>
          <w:bCs/>
        </w:rPr>
        <w:t xml:space="preserve"> ausgeschlossen.</w:t>
      </w:r>
    </w:p>
    <w:p w14:paraId="0291A1D2" w14:textId="4D9F4CF6" w:rsidR="00B96F5B" w:rsidRDefault="00D617DC" w:rsidP="00B96F5B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  <w:r>
        <w:rPr>
          <w:b w:val="0"/>
          <w:bCs/>
        </w:rPr>
        <w:t xml:space="preserve">Berechtigt zum Widerruf ist nur derjenige </w:t>
      </w:r>
      <w:r w:rsidR="00E65E84">
        <w:rPr>
          <w:b w:val="0"/>
          <w:bCs/>
        </w:rPr>
        <w:t xml:space="preserve">schutzwürdige </w:t>
      </w:r>
      <w:r>
        <w:rPr>
          <w:b w:val="0"/>
          <w:bCs/>
        </w:rPr>
        <w:t>Vertragspartner, der keine Kenntnis</w:t>
      </w:r>
      <w:r w:rsidR="00E65E84">
        <w:rPr>
          <w:b w:val="0"/>
          <w:bCs/>
        </w:rPr>
        <w:t xml:space="preserve"> vom Mangel der Vertretungsmacht</w:t>
      </w:r>
      <w:r>
        <w:rPr>
          <w:b w:val="0"/>
          <w:bCs/>
        </w:rPr>
        <w:t xml:space="preserve"> </w:t>
      </w:r>
      <w:r w:rsidR="00E65E84">
        <w:rPr>
          <w:b w:val="0"/>
          <w:bCs/>
        </w:rPr>
        <w:t xml:space="preserve">hatte. </w:t>
      </w:r>
      <w:r w:rsidR="00937C2F">
        <w:rPr>
          <w:b w:val="0"/>
          <w:bCs/>
        </w:rPr>
        <w:t>Positives Wissen ist notwendig, f</w:t>
      </w:r>
      <w:r w:rsidR="00E65E84" w:rsidRPr="00E65E84">
        <w:rPr>
          <w:b w:val="0"/>
          <w:bCs/>
        </w:rPr>
        <w:t>ahrlässige Unkenntnis genügt nach dem Wortlaut nicht (sonst hieße es „oder kennen müssen“).</w:t>
      </w:r>
      <w:r w:rsidR="00937C2F">
        <w:rPr>
          <w:b w:val="0"/>
          <w:bCs/>
        </w:rPr>
        <w:t xml:space="preserve"> Entscheidend ist der Zeitpunkt der Abgabe der Willenserklärung </w:t>
      </w:r>
      <w:proofErr w:type="gramStart"/>
      <w:r w:rsidR="00937C2F">
        <w:rPr>
          <w:b w:val="0"/>
          <w:bCs/>
        </w:rPr>
        <w:t>des Vertragspartner</w:t>
      </w:r>
      <w:proofErr w:type="gramEnd"/>
      <w:r w:rsidR="00937C2F">
        <w:rPr>
          <w:b w:val="0"/>
          <w:bCs/>
        </w:rPr>
        <w:t xml:space="preserve"> (</w:t>
      </w:r>
      <w:r w:rsidR="00937C2F" w:rsidRPr="00937C2F">
        <w:rPr>
          <w:b w:val="0"/>
          <w:bCs/>
        </w:rPr>
        <w:t xml:space="preserve">BeckOK BGB/Schäfer BGB § 178 </w:t>
      </w:r>
      <w:proofErr w:type="spellStart"/>
      <w:r w:rsidR="00937C2F" w:rsidRPr="00937C2F">
        <w:rPr>
          <w:b w:val="0"/>
          <w:bCs/>
        </w:rPr>
        <w:t>Rn</w:t>
      </w:r>
      <w:proofErr w:type="spellEnd"/>
      <w:r w:rsidR="00937C2F" w:rsidRPr="00937C2F">
        <w:rPr>
          <w:b w:val="0"/>
          <w:bCs/>
        </w:rPr>
        <w:t xml:space="preserve">. </w:t>
      </w:r>
      <w:hyperlink r:id="rId12" w:history="1">
        <w:r w:rsidR="00937C2F" w:rsidRPr="007C4158">
          <w:rPr>
            <w:rStyle w:val="Hyperlink"/>
            <w:b w:val="0"/>
            <w:bCs/>
            <w:color w:val="688AF8"/>
            <w:u w:val="none"/>
          </w:rPr>
          <w:t>4, 5</w:t>
        </w:r>
      </w:hyperlink>
      <w:r w:rsidR="00937C2F">
        <w:rPr>
          <w:b w:val="0"/>
          <w:bCs/>
        </w:rPr>
        <w:t>).</w:t>
      </w:r>
    </w:p>
    <w:p w14:paraId="50F2D877" w14:textId="69B04FF4" w:rsidR="00850B82" w:rsidRDefault="00850B82" w:rsidP="00903AB4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  <w:r>
        <w:rPr>
          <w:b w:val="0"/>
          <w:bCs/>
        </w:rPr>
        <w:t>Der Widerruf kann dem Stellvertreter oder dem Geschäftsherrn gegenüber erklärt werden, § 178 S. 2 BGB.</w:t>
      </w:r>
      <w:r w:rsidR="00903AB4">
        <w:rPr>
          <w:b w:val="0"/>
          <w:bCs/>
        </w:rPr>
        <w:t xml:space="preserve"> </w:t>
      </w:r>
      <w:r>
        <w:rPr>
          <w:b w:val="0"/>
          <w:bCs/>
        </w:rPr>
        <w:t>Er kann auch nach der Aufforderung</w:t>
      </w:r>
      <w:r w:rsidR="00FC6695">
        <w:rPr>
          <w:b w:val="0"/>
          <w:bCs/>
        </w:rPr>
        <w:t xml:space="preserve"> iSd § 177 II BGB erklärt werden (</w:t>
      </w:r>
      <w:r w:rsidR="00903AB4" w:rsidRPr="004A37F2">
        <w:rPr>
          <w:b w:val="0"/>
          <w:bCs/>
        </w:rPr>
        <w:t xml:space="preserve">MüKoBGB/Schubert BGB § 178 </w:t>
      </w:r>
      <w:proofErr w:type="spellStart"/>
      <w:r w:rsidR="00903AB4" w:rsidRPr="004A37F2">
        <w:rPr>
          <w:b w:val="0"/>
          <w:bCs/>
        </w:rPr>
        <w:t>Rn</w:t>
      </w:r>
      <w:proofErr w:type="spellEnd"/>
      <w:r w:rsidR="00903AB4" w:rsidRPr="004A37F2">
        <w:rPr>
          <w:b w:val="0"/>
          <w:bCs/>
        </w:rPr>
        <w:t xml:space="preserve">. </w:t>
      </w:r>
      <w:hyperlink r:id="rId13" w:history="1">
        <w:r w:rsidR="00903AB4" w:rsidRPr="00391422">
          <w:rPr>
            <w:rStyle w:val="Hyperlink"/>
            <w:b w:val="0"/>
            <w:bCs/>
            <w:color w:val="03407D" w:themeColor="hyperlink" w:themeShade="A6"/>
            <w14:textFill>
              <w14:solidFill>
                <w14:schemeClr w14:val="hlink">
                  <w14:lumMod w14:val="65000"/>
                  <w14:lumMod w14:val="65000"/>
                </w14:schemeClr>
              </w14:solidFill>
            </w14:textFill>
          </w:rPr>
          <w:t>4</w:t>
        </w:r>
      </w:hyperlink>
      <w:r w:rsidR="00903AB4">
        <w:rPr>
          <w:b w:val="0"/>
          <w:bCs/>
        </w:rPr>
        <w:t>).</w:t>
      </w:r>
    </w:p>
    <w:p w14:paraId="719FB999" w14:textId="77777777" w:rsidR="00363CF9" w:rsidRDefault="00363CF9" w:rsidP="00B96F5B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</w:p>
    <w:p w14:paraId="52D2224C" w14:textId="4C03309B" w:rsidR="003A1148" w:rsidRPr="008B5F65" w:rsidRDefault="008A1388" w:rsidP="003A1148">
      <w:pPr>
        <w:pStyle w:val="Tatbestandberschriften"/>
        <w:numPr>
          <w:ilvl w:val="0"/>
          <w:numId w:val="35"/>
        </w:numPr>
        <w:tabs>
          <w:tab w:val="left" w:pos="3965"/>
        </w:tabs>
        <w:spacing w:after="0"/>
        <w:rPr>
          <w:b w:val="0"/>
          <w:bCs/>
          <w:i/>
          <w:iCs/>
        </w:rPr>
      </w:pPr>
      <w:r w:rsidRPr="008B5F65">
        <w:rPr>
          <w:b w:val="0"/>
          <w:bCs/>
          <w:i/>
          <w:iCs/>
        </w:rPr>
        <w:t>Genehmigung</w:t>
      </w:r>
      <w:r w:rsidR="00B73C9B" w:rsidRPr="008B5F65">
        <w:rPr>
          <w:b w:val="0"/>
          <w:bCs/>
          <w:i/>
          <w:iCs/>
        </w:rPr>
        <w:t>serklärung</w:t>
      </w:r>
      <w:r w:rsidRPr="008B5F65">
        <w:rPr>
          <w:b w:val="0"/>
          <w:bCs/>
          <w:i/>
          <w:iCs/>
        </w:rPr>
        <w:t xml:space="preserve"> des Vertretenen, §§ 182, 184 I BGB</w:t>
      </w:r>
    </w:p>
    <w:p w14:paraId="7C3F77A1" w14:textId="77777777" w:rsidR="008B5F65" w:rsidRDefault="00166CE5" w:rsidP="008B5F65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  <w:r w:rsidRPr="00166CE5">
        <w:rPr>
          <w:b w:val="0"/>
          <w:bCs/>
        </w:rPr>
        <w:t xml:space="preserve">Durch Genehmigung gegenüber dem </w:t>
      </w:r>
      <w:r>
        <w:rPr>
          <w:b w:val="0"/>
          <w:bCs/>
        </w:rPr>
        <w:t>Stellvertreter</w:t>
      </w:r>
      <w:r w:rsidRPr="00166CE5">
        <w:rPr>
          <w:b w:val="0"/>
          <w:bCs/>
        </w:rPr>
        <w:t xml:space="preserve"> oder dem anderen Teil (vgl. § 182 I BGB) im Sinne des § 184 </w:t>
      </w:r>
      <w:r>
        <w:rPr>
          <w:b w:val="0"/>
          <w:bCs/>
        </w:rPr>
        <w:t xml:space="preserve">I </w:t>
      </w:r>
      <w:r w:rsidRPr="00166CE5">
        <w:rPr>
          <w:b w:val="0"/>
          <w:bCs/>
        </w:rPr>
        <w:t xml:space="preserve">BGB, wird dieser Schwebezustand aufgehoben und der Vertrag von Anfang (ex </w:t>
      </w:r>
      <w:proofErr w:type="spellStart"/>
      <w:r w:rsidRPr="00166CE5">
        <w:rPr>
          <w:b w:val="0"/>
          <w:bCs/>
        </w:rPr>
        <w:t>tunc</w:t>
      </w:r>
      <w:proofErr w:type="spellEnd"/>
      <w:r w:rsidRPr="00166CE5">
        <w:rPr>
          <w:b w:val="0"/>
          <w:bCs/>
        </w:rPr>
        <w:t>) an wirksam.</w:t>
      </w:r>
      <w:r w:rsidR="008B5F65" w:rsidRPr="008B5F65">
        <w:rPr>
          <w:b w:val="0"/>
          <w:bCs/>
        </w:rPr>
        <w:t xml:space="preserve"> </w:t>
      </w:r>
    </w:p>
    <w:p w14:paraId="160626D8" w14:textId="0AE131C8" w:rsidR="008B5F65" w:rsidRDefault="008B5F65" w:rsidP="008B5F65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  <w:r>
        <w:rPr>
          <w:b w:val="0"/>
          <w:bCs/>
        </w:rPr>
        <w:t>Die Aufforderungserklärung muss eindeutig die Wirksamkeit des Geschäfts in Zweifel ziehen und insoweit Zweifel an der Vertretungsmacht bekannt sein bzw. angezweifelt werden (</w:t>
      </w:r>
      <w:r w:rsidRPr="0096296C">
        <w:rPr>
          <w:b w:val="0"/>
          <w:bCs/>
        </w:rPr>
        <w:t xml:space="preserve">MüKoBGB/Schubert BGB § 177 </w:t>
      </w:r>
      <w:proofErr w:type="spellStart"/>
      <w:r w:rsidRPr="0096296C">
        <w:rPr>
          <w:b w:val="0"/>
          <w:bCs/>
        </w:rPr>
        <w:t>Rn</w:t>
      </w:r>
      <w:proofErr w:type="spellEnd"/>
      <w:r w:rsidRPr="0096296C">
        <w:rPr>
          <w:b w:val="0"/>
          <w:bCs/>
        </w:rPr>
        <w:t xml:space="preserve">. </w:t>
      </w:r>
      <w:hyperlink r:id="rId14" w:history="1">
        <w:r w:rsidRPr="0096296C">
          <w:rPr>
            <w:rStyle w:val="Hyperlink"/>
            <w:b w:val="0"/>
            <w:bCs/>
            <w:color w:val="03407D" w:themeColor="hyperlink" w:themeShade="A6"/>
            <w14:textFill>
              <w14:solidFill>
                <w14:schemeClr w14:val="hlink">
                  <w14:lumMod w14:val="65000"/>
                  <w14:lumMod w14:val="65000"/>
                </w14:schemeClr>
              </w14:solidFill>
            </w14:textFill>
          </w:rPr>
          <w:t>26</w:t>
        </w:r>
      </w:hyperlink>
      <w:r>
        <w:rPr>
          <w:b w:val="0"/>
          <w:bCs/>
        </w:rPr>
        <w:t xml:space="preserve">). Rechtsgeschäftsähnliche </w:t>
      </w:r>
      <w:r>
        <w:rPr>
          <w:b w:val="0"/>
          <w:bCs/>
        </w:rPr>
        <w:lastRenderedPageBreak/>
        <w:t>Handlungen, wie die Mahnung oder die Aufforderung zur Leistung reichen insoweit nicht aus, wenn sich aus der Auslegung nicht ergibt, dass die Aufforderung zur Genehmigung bzw. ihrer Versagung enthalten ist.</w:t>
      </w:r>
    </w:p>
    <w:p w14:paraId="050CF617" w14:textId="5C7E6228" w:rsidR="008B5F65" w:rsidRDefault="008B5F65" w:rsidP="00712496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  <w:r>
        <w:rPr>
          <w:b w:val="0"/>
          <w:bCs/>
        </w:rPr>
        <w:t>Es ist daran zu denken, dass noch vor Ablauf der zweiwöchigen Frist ein Widerruf des Vertragspartners gem. § 178 BGB in Betracht kommen, dieser wird auch nicht durch die Aufforderung ausgeschlossen (</w:t>
      </w:r>
      <w:r w:rsidRPr="0096296C">
        <w:rPr>
          <w:b w:val="0"/>
          <w:bCs/>
        </w:rPr>
        <w:t xml:space="preserve">MüKoBGB/Schubert BGB § 177 </w:t>
      </w:r>
      <w:proofErr w:type="spellStart"/>
      <w:r w:rsidRPr="0096296C">
        <w:rPr>
          <w:b w:val="0"/>
          <w:bCs/>
        </w:rPr>
        <w:t>Rn</w:t>
      </w:r>
      <w:proofErr w:type="spellEnd"/>
      <w:r w:rsidRPr="0096296C">
        <w:rPr>
          <w:b w:val="0"/>
          <w:bCs/>
        </w:rPr>
        <w:t xml:space="preserve">. </w:t>
      </w:r>
      <w:hyperlink r:id="rId15" w:history="1">
        <w:r w:rsidRPr="007C4158">
          <w:rPr>
            <w:rStyle w:val="Hyperlink"/>
            <w:b w:val="0"/>
            <w:bCs/>
            <w:color w:val="688AF8"/>
            <w:u w:val="none"/>
          </w:rPr>
          <w:t>26</w:t>
        </w:r>
      </w:hyperlink>
      <w:r>
        <w:rPr>
          <w:b w:val="0"/>
          <w:bCs/>
        </w:rPr>
        <w:t>).</w:t>
      </w:r>
    </w:p>
    <w:p w14:paraId="0B902D76" w14:textId="77777777" w:rsidR="008B5F65" w:rsidRDefault="008B5F65" w:rsidP="008B5F65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</w:p>
    <w:p w14:paraId="0E409090" w14:textId="77777777" w:rsidR="003A1148" w:rsidRPr="008B5F65" w:rsidRDefault="008A1388" w:rsidP="003A1148">
      <w:pPr>
        <w:pStyle w:val="Tatbestandberschriften"/>
        <w:numPr>
          <w:ilvl w:val="0"/>
          <w:numId w:val="35"/>
        </w:numPr>
        <w:tabs>
          <w:tab w:val="left" w:pos="3965"/>
        </w:tabs>
        <w:spacing w:after="0"/>
        <w:rPr>
          <w:b w:val="0"/>
          <w:bCs/>
          <w:i/>
          <w:iCs/>
        </w:rPr>
      </w:pPr>
      <w:r w:rsidRPr="008B5F65">
        <w:rPr>
          <w:b w:val="0"/>
          <w:bCs/>
          <w:i/>
          <w:iCs/>
        </w:rPr>
        <w:t>Keine Unwirksamkeit der Genehmigung durch Aufforderung gem. § 177 II BGB</w:t>
      </w:r>
    </w:p>
    <w:p w14:paraId="1EED86F9" w14:textId="77777777" w:rsidR="00476068" w:rsidRDefault="0069345A" w:rsidP="0069345A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  <w:r w:rsidRPr="0069345A">
        <w:rPr>
          <w:b w:val="0"/>
          <w:bCs/>
        </w:rPr>
        <w:t>Der Sonderfall der Aufforderung des Vertragspartners</w:t>
      </w:r>
      <w:r w:rsidR="00476068">
        <w:rPr>
          <w:b w:val="0"/>
          <w:bCs/>
        </w:rPr>
        <w:t xml:space="preserve"> führt zu drei Rechtsfolgen:</w:t>
      </w:r>
    </w:p>
    <w:p w14:paraId="6FA9AA42" w14:textId="3711E2B2" w:rsidR="00573C52" w:rsidRPr="00573C52" w:rsidRDefault="00573C52" w:rsidP="00573C52">
      <w:pPr>
        <w:pStyle w:val="Tatbestandberschriften"/>
        <w:numPr>
          <w:ilvl w:val="0"/>
          <w:numId w:val="36"/>
        </w:numPr>
        <w:tabs>
          <w:tab w:val="left" w:pos="3965"/>
        </w:tabs>
        <w:spacing w:after="0"/>
        <w:rPr>
          <w:b w:val="0"/>
          <w:bCs/>
        </w:rPr>
      </w:pPr>
      <w:r w:rsidRPr="00573C52">
        <w:rPr>
          <w:b w:val="0"/>
          <w:bCs/>
        </w:rPr>
        <w:t xml:space="preserve">Eine dem </w:t>
      </w:r>
      <w:r w:rsidR="009A0261">
        <w:rPr>
          <w:b w:val="0"/>
          <w:bCs/>
        </w:rPr>
        <w:t>Stellvertreter</w:t>
      </w:r>
      <w:r w:rsidRPr="00573C52">
        <w:rPr>
          <w:b w:val="0"/>
          <w:bCs/>
        </w:rPr>
        <w:t xml:space="preserve"> gegenüber erklärte Genehmigung</w:t>
      </w:r>
      <w:r w:rsidR="009A0261">
        <w:rPr>
          <w:b w:val="0"/>
          <w:bCs/>
        </w:rPr>
        <w:t xml:space="preserve"> (Innengenehmigung)</w:t>
      </w:r>
      <w:r w:rsidRPr="00573C52">
        <w:rPr>
          <w:b w:val="0"/>
          <w:bCs/>
        </w:rPr>
        <w:t xml:space="preserve"> wird unwirksam, </w:t>
      </w:r>
    </w:p>
    <w:p w14:paraId="0BBA9BA4" w14:textId="75591158" w:rsidR="00476068" w:rsidRDefault="00573C52" w:rsidP="00573C52">
      <w:pPr>
        <w:pStyle w:val="Tatbestandberschriften"/>
        <w:numPr>
          <w:ilvl w:val="0"/>
          <w:numId w:val="36"/>
        </w:numPr>
        <w:tabs>
          <w:tab w:val="left" w:pos="3965"/>
        </w:tabs>
        <w:spacing w:after="0"/>
        <w:rPr>
          <w:b w:val="0"/>
          <w:bCs/>
        </w:rPr>
      </w:pPr>
      <w:r w:rsidRPr="00573C52">
        <w:rPr>
          <w:b w:val="0"/>
          <w:bCs/>
        </w:rPr>
        <w:t xml:space="preserve">Die Genehmigung kann abweichend von § 182 </w:t>
      </w:r>
      <w:r w:rsidR="000361EF">
        <w:rPr>
          <w:b w:val="0"/>
          <w:bCs/>
        </w:rPr>
        <w:t xml:space="preserve">I </w:t>
      </w:r>
      <w:r w:rsidRPr="00573C52">
        <w:rPr>
          <w:b w:val="0"/>
          <w:bCs/>
        </w:rPr>
        <w:t>BGB nur noch gegenüber dem Vertragspartner erklärt werden,</w:t>
      </w:r>
    </w:p>
    <w:p w14:paraId="791A77FC" w14:textId="052AF825" w:rsidR="00573C52" w:rsidRDefault="00573C52" w:rsidP="00573C52">
      <w:pPr>
        <w:pStyle w:val="Tatbestandberschriften"/>
        <w:numPr>
          <w:ilvl w:val="0"/>
          <w:numId w:val="36"/>
        </w:numPr>
        <w:tabs>
          <w:tab w:val="left" w:pos="3965"/>
        </w:tabs>
        <w:spacing w:after="0"/>
        <w:rPr>
          <w:b w:val="0"/>
          <w:bCs/>
        </w:rPr>
      </w:pPr>
      <w:r>
        <w:rPr>
          <w:b w:val="0"/>
          <w:bCs/>
        </w:rPr>
        <w:t>Es gilt eine zweiwöchige Frist</w:t>
      </w:r>
      <w:r w:rsidR="00FA6682">
        <w:rPr>
          <w:b w:val="0"/>
          <w:bCs/>
        </w:rPr>
        <w:t xml:space="preserve">, </w:t>
      </w:r>
      <w:r w:rsidR="000361EF">
        <w:rPr>
          <w:b w:val="0"/>
          <w:bCs/>
        </w:rPr>
        <w:t>nach A</w:t>
      </w:r>
      <w:r w:rsidR="00AC3EAF">
        <w:rPr>
          <w:b w:val="0"/>
          <w:bCs/>
        </w:rPr>
        <w:t>b</w:t>
      </w:r>
      <w:r w:rsidR="000361EF">
        <w:rPr>
          <w:b w:val="0"/>
          <w:bCs/>
        </w:rPr>
        <w:t>lauf</w:t>
      </w:r>
      <w:r w:rsidR="00FA6682">
        <w:rPr>
          <w:b w:val="0"/>
          <w:bCs/>
        </w:rPr>
        <w:t xml:space="preserve"> gilt die Genehmigung als verweigert und der Vertrag </w:t>
      </w:r>
      <w:r w:rsidR="000361EF">
        <w:rPr>
          <w:b w:val="0"/>
          <w:bCs/>
        </w:rPr>
        <w:t>wird</w:t>
      </w:r>
      <w:r w:rsidR="00FA6682">
        <w:rPr>
          <w:b w:val="0"/>
          <w:bCs/>
        </w:rPr>
        <w:t xml:space="preserve"> endgültig unwirksam</w:t>
      </w:r>
    </w:p>
    <w:p w14:paraId="1E950E94" w14:textId="77777777" w:rsidR="00476068" w:rsidRDefault="00476068" w:rsidP="0069345A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</w:p>
    <w:p w14:paraId="5F7C7A2E" w14:textId="29D3057E" w:rsidR="0053716E" w:rsidRDefault="0069345A" w:rsidP="00AE3779">
      <w:pPr>
        <w:pStyle w:val="Tatbestandberschriften"/>
        <w:tabs>
          <w:tab w:val="left" w:pos="3965"/>
        </w:tabs>
        <w:spacing w:after="0"/>
        <w:ind w:left="2124"/>
        <w:rPr>
          <w:b w:val="0"/>
          <w:bCs/>
        </w:rPr>
      </w:pPr>
      <w:r w:rsidRPr="00FA6682">
        <w:rPr>
          <w:b w:val="0"/>
          <w:bCs/>
          <w:i/>
          <w:iCs/>
        </w:rPr>
        <w:t>Beispiel:</w:t>
      </w:r>
      <w:r w:rsidRPr="0069345A">
        <w:rPr>
          <w:b w:val="0"/>
          <w:bCs/>
        </w:rPr>
        <w:t xml:space="preserve"> </w:t>
      </w:r>
      <w:r w:rsidR="00FA6682">
        <w:rPr>
          <w:b w:val="0"/>
          <w:bCs/>
        </w:rPr>
        <w:t xml:space="preserve">S schließt </w:t>
      </w:r>
      <w:r w:rsidR="00C27934">
        <w:rPr>
          <w:b w:val="0"/>
          <w:bCs/>
        </w:rPr>
        <w:t>im Namen seines</w:t>
      </w:r>
      <w:r w:rsidR="00FA6682">
        <w:rPr>
          <w:b w:val="0"/>
          <w:bCs/>
        </w:rPr>
        <w:t xml:space="preserve"> Bruder B</w:t>
      </w:r>
      <w:r w:rsidRPr="0069345A">
        <w:rPr>
          <w:b w:val="0"/>
          <w:bCs/>
        </w:rPr>
        <w:t xml:space="preserve"> </w:t>
      </w:r>
      <w:r w:rsidR="00FA6682">
        <w:rPr>
          <w:b w:val="0"/>
          <w:bCs/>
        </w:rPr>
        <w:t xml:space="preserve">mit V </w:t>
      </w:r>
      <w:r w:rsidRPr="0069345A">
        <w:rPr>
          <w:b w:val="0"/>
          <w:bCs/>
        </w:rPr>
        <w:t xml:space="preserve">einen Vertrag zum Kauf eines Autos. Der </w:t>
      </w:r>
      <w:r w:rsidR="00C27934">
        <w:rPr>
          <w:b w:val="0"/>
          <w:bCs/>
        </w:rPr>
        <w:t>B</w:t>
      </w:r>
      <w:r w:rsidRPr="0069345A">
        <w:rPr>
          <w:b w:val="0"/>
          <w:bCs/>
        </w:rPr>
        <w:t xml:space="preserve"> </w:t>
      </w:r>
      <w:r w:rsidR="00C27934">
        <w:rPr>
          <w:b w:val="0"/>
          <w:bCs/>
        </w:rPr>
        <w:t>weiß davon nichts, dementsprechend hat S keine Vertretungsmacht zum Abschluss dieses Vertrages</w:t>
      </w:r>
      <w:r w:rsidRPr="0069345A">
        <w:rPr>
          <w:b w:val="0"/>
          <w:bCs/>
        </w:rPr>
        <w:t xml:space="preserve">. </w:t>
      </w:r>
      <w:r w:rsidR="00F45402">
        <w:rPr>
          <w:b w:val="0"/>
          <w:bCs/>
        </w:rPr>
        <w:t xml:space="preserve">B, der sich genau dieses Auto gewünscht hat, zieht den Vertrag an sich und genehmigt ihn gegenüber S, vgl. § 182 I BGB. In der Zwischenzeit erfährt V, dass B nichts von dem Vertrag wusste und möchte sich von so einer chaotischen Vertragslage lösen. Er ruft bei B an und erklärt ihm, die Lage sei ihm viel zu unsicher, diese Ungewissheit möchte er aufgeklärt haben und sich davon distanzieren. </w:t>
      </w:r>
      <w:r w:rsidRPr="0069345A">
        <w:rPr>
          <w:b w:val="0"/>
          <w:bCs/>
        </w:rPr>
        <w:t>Durch diese Aufforderung wird die frühere Genehmigung gegenüber</w:t>
      </w:r>
      <w:r w:rsidR="00F45402">
        <w:rPr>
          <w:b w:val="0"/>
          <w:bCs/>
        </w:rPr>
        <w:t xml:space="preserve"> S</w:t>
      </w:r>
      <w:r w:rsidRPr="0069345A">
        <w:rPr>
          <w:b w:val="0"/>
          <w:bCs/>
        </w:rPr>
        <w:t xml:space="preserve"> unwirksam und der Vertrag kann nur noch von </w:t>
      </w:r>
      <w:r w:rsidR="00F45402">
        <w:rPr>
          <w:b w:val="0"/>
          <w:bCs/>
        </w:rPr>
        <w:t>B</w:t>
      </w:r>
      <w:r w:rsidRPr="0069345A">
        <w:rPr>
          <w:b w:val="0"/>
          <w:bCs/>
        </w:rPr>
        <w:t xml:space="preserve"> gegenüber V innerhalb von zwei Wochen genehmigt werden.</w:t>
      </w:r>
    </w:p>
    <w:p w14:paraId="47D65A49" w14:textId="77777777" w:rsidR="0053716E" w:rsidRDefault="0053716E" w:rsidP="0053716E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</w:p>
    <w:p w14:paraId="416A14E6" w14:textId="15A49730" w:rsidR="00AE3779" w:rsidRDefault="00AE3779" w:rsidP="0053716E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  <w:r w:rsidRPr="00AE3779">
        <w:rPr>
          <w:b w:val="0"/>
          <w:bCs/>
          <w:i/>
          <w:iCs/>
        </w:rPr>
        <w:t>Sonderkonstellation</w:t>
      </w:r>
      <w:r>
        <w:rPr>
          <w:b w:val="0"/>
          <w:bCs/>
        </w:rPr>
        <w:t>: Widerruf nach Innengenehmigung</w:t>
      </w:r>
    </w:p>
    <w:p w14:paraId="5905586B" w14:textId="419D0F8B" w:rsidR="0053716E" w:rsidRDefault="0053716E" w:rsidP="0053716E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  <w:r>
        <w:rPr>
          <w:b w:val="0"/>
          <w:bCs/>
        </w:rPr>
        <w:t>Spannend liegt der Fall, wenn die Genehmigung gegenüber dem Stellvertreter erklärt wurde, vgl. § 182 I BGB, und die Schwebelage ohne Kenntnis des Vertragspartner endet. Möchte er nun den Vertrag gem. § 183 BGB widerrufen, ist dies mangels Schwebezustand nicht mehr möglich. Allerdings kann die Widerrufserklärung gegebenenfalls gem. §§ 133, 157 BGB zur Aufforderung gem. § 177 II BGB ausgelegt werden (</w:t>
      </w:r>
      <w:r w:rsidRPr="004A37F2">
        <w:rPr>
          <w:b w:val="0"/>
          <w:bCs/>
        </w:rPr>
        <w:t xml:space="preserve">MüKoBGB/Schubert BGB § 178 </w:t>
      </w:r>
      <w:proofErr w:type="spellStart"/>
      <w:r w:rsidRPr="004A37F2">
        <w:rPr>
          <w:b w:val="0"/>
          <w:bCs/>
        </w:rPr>
        <w:t>Rn</w:t>
      </w:r>
      <w:proofErr w:type="spellEnd"/>
      <w:r w:rsidRPr="004A37F2">
        <w:rPr>
          <w:b w:val="0"/>
          <w:bCs/>
        </w:rPr>
        <w:t xml:space="preserve">. </w:t>
      </w:r>
      <w:hyperlink r:id="rId16" w:history="1">
        <w:r w:rsidRPr="007C4158">
          <w:rPr>
            <w:rStyle w:val="Hyperlink"/>
            <w:b w:val="0"/>
            <w:bCs/>
            <w:color w:val="688AF8"/>
            <w:u w:val="none"/>
          </w:rPr>
          <w:t>4</w:t>
        </w:r>
      </w:hyperlink>
      <w:r>
        <w:rPr>
          <w:b w:val="0"/>
          <w:bCs/>
        </w:rPr>
        <w:t xml:space="preserve">). Dadurch wird die dem Stellvertreter gegenüber erklärte Genehmigung unwirksam wird und </w:t>
      </w:r>
      <w:r>
        <w:rPr>
          <w:b w:val="0"/>
          <w:bCs/>
        </w:rPr>
        <w:lastRenderedPageBreak/>
        <w:t>der der Schwebezustand wieder eintritt sowie nunmehr widerrufen werden kann.</w:t>
      </w:r>
    </w:p>
    <w:p w14:paraId="3D1DD9D0" w14:textId="77777777" w:rsidR="0053716E" w:rsidRDefault="0053716E" w:rsidP="0053716E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</w:p>
    <w:p w14:paraId="3D39CB57" w14:textId="1F0A54DD" w:rsidR="0053716E" w:rsidRPr="00B96F5B" w:rsidRDefault="0053716E" w:rsidP="00ED0078">
      <w:pPr>
        <w:pStyle w:val="Tatbestandberschriften"/>
        <w:tabs>
          <w:tab w:val="left" w:pos="3965"/>
        </w:tabs>
        <w:spacing w:after="0"/>
        <w:ind w:left="2124"/>
        <w:rPr>
          <w:b w:val="0"/>
          <w:bCs/>
        </w:rPr>
      </w:pPr>
      <w:r w:rsidRPr="00ED0078">
        <w:rPr>
          <w:b w:val="0"/>
          <w:bCs/>
          <w:i/>
          <w:iCs/>
        </w:rPr>
        <w:t>Beispiel (Abwandlung vom obigen Beispiel</w:t>
      </w:r>
      <w:r w:rsidR="00ED0078">
        <w:rPr>
          <w:b w:val="0"/>
          <w:bCs/>
          <w:i/>
          <w:iCs/>
        </w:rPr>
        <w:t>s</w:t>
      </w:r>
      <w:r w:rsidRPr="00ED0078">
        <w:rPr>
          <w:b w:val="0"/>
          <w:bCs/>
          <w:i/>
          <w:iCs/>
        </w:rPr>
        <w:t>)</w:t>
      </w:r>
      <w:r>
        <w:rPr>
          <w:b w:val="0"/>
          <w:bCs/>
        </w:rPr>
        <w:t>: S, der im Namen seines Bruders B ohne dessen Kenntnis einen Kaufvertrag mit V über ein Auto abschloss, erzählt ihm vom Abschluss des Schnäppchengeschäfts. B, der sich genau dieses Auto gewünscht hat, zieht den Vertrag an sich und genehmigt ihn gegenüber S, vgl. § 182 I BGB. In der Zwischenzeit erfährt V, dass B nichts von dem Vertrag wusste und möchte sich von so einer chaotischen Vertragslage lösen. Er ruft bei B an und erklärt ihm, die Lage sei ihm viel zu unsicher, diese Ungewissheit möchte er aufgeklärt haben und sich davon distanzieren. Ein Widerruf gem. § 183 BGB ist grds. wegen der erfolgten Innengenehmigung nicht möglich, die Erklärung des V gegenüber dem B kann jedoch als Aufforderung iSd  177 II BGB ausgelegt werden, sodass die Innengenehmigung unwirksam wird, der Schwebezustand wieder eintritt und der Widerruf zur Unwirksamkeit des Vertrages führt.</w:t>
      </w:r>
    </w:p>
    <w:p w14:paraId="4ADCC08D" w14:textId="6D3AAD15" w:rsidR="00867BCD" w:rsidRDefault="00867BCD" w:rsidP="00867BCD">
      <w:pPr>
        <w:pStyle w:val="Tatbestandberschriften"/>
        <w:tabs>
          <w:tab w:val="left" w:pos="3965"/>
        </w:tabs>
        <w:spacing w:after="0"/>
        <w:ind w:left="2124"/>
        <w:rPr>
          <w:b w:val="0"/>
          <w:bCs/>
        </w:rPr>
      </w:pPr>
    </w:p>
    <w:p w14:paraId="0E6DCE56" w14:textId="77777777" w:rsidR="005175E2" w:rsidRDefault="005175E2" w:rsidP="00BE65C7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</w:p>
    <w:p w14:paraId="5BAD6FBC" w14:textId="77777777" w:rsidR="003D1EF3" w:rsidRDefault="003D1EF3" w:rsidP="00BE65C7">
      <w:pPr>
        <w:pStyle w:val="Tatbestandberschriften"/>
        <w:tabs>
          <w:tab w:val="left" w:pos="3965"/>
        </w:tabs>
        <w:spacing w:after="0"/>
        <w:ind w:left="1800"/>
        <w:rPr>
          <w:b w:val="0"/>
          <w:bCs/>
        </w:rPr>
      </w:pPr>
    </w:p>
    <w:p w14:paraId="53074DA5" w14:textId="77777777" w:rsidR="00D01277" w:rsidRDefault="00D01277" w:rsidP="00D01277">
      <w:pPr>
        <w:pStyle w:val="Tatbestandberschriften"/>
        <w:tabs>
          <w:tab w:val="left" w:pos="3965"/>
        </w:tabs>
        <w:spacing w:after="0"/>
      </w:pPr>
    </w:p>
    <w:p w14:paraId="716122DC" w14:textId="26B00444" w:rsidR="005058DE" w:rsidRDefault="005058DE" w:rsidP="005058DE">
      <w:pPr>
        <w:pStyle w:val="SchemaDefinitionenHeader"/>
        <w:rPr>
          <w:b/>
          <w:bCs/>
          <w:color w:val="auto"/>
        </w:rPr>
      </w:pPr>
    </w:p>
    <w:p w14:paraId="5378D6A5" w14:textId="62C7937D" w:rsidR="001C29DC" w:rsidRDefault="001C29DC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1D71FC2D" w14:textId="1B233C60" w:rsidR="00295E1E" w:rsidRDefault="001B59C0" w:rsidP="00295E1E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Quellen:</w:t>
      </w:r>
    </w:p>
    <w:p w14:paraId="0EC3ED07" w14:textId="0278BAC2" w:rsidR="001B59C0" w:rsidRPr="00AC3EAF" w:rsidRDefault="001B59C0" w:rsidP="00295E1E">
      <w:pPr>
        <w:rPr>
          <w:rFonts w:ascii="Open Sans" w:hAnsi="Open Sans" w:cs="Open Sans"/>
        </w:rPr>
      </w:pPr>
      <w:r w:rsidRPr="00AC3EAF">
        <w:rPr>
          <w:rFonts w:ascii="Open Sans" w:hAnsi="Open Sans" w:cs="Open Sans"/>
        </w:rPr>
        <w:t xml:space="preserve">MüKoBGB/Schubert, 9. Aufl. 2021, BGB </w:t>
      </w:r>
      <w:r w:rsidR="00E10BF2" w:rsidRPr="00AC3EAF">
        <w:rPr>
          <w:rFonts w:ascii="Open Sans" w:hAnsi="Open Sans" w:cs="Open Sans"/>
        </w:rPr>
        <w:t xml:space="preserve">§ 177 </w:t>
      </w:r>
      <w:proofErr w:type="spellStart"/>
      <w:r w:rsidR="00E10BF2" w:rsidRPr="00AC3EAF">
        <w:rPr>
          <w:rFonts w:ascii="Open Sans" w:hAnsi="Open Sans" w:cs="Open Sans"/>
          <w:bCs/>
        </w:rPr>
        <w:t>Rn</w:t>
      </w:r>
      <w:proofErr w:type="spellEnd"/>
      <w:r w:rsidR="00E10BF2" w:rsidRPr="00AC3EAF">
        <w:rPr>
          <w:rFonts w:ascii="Open Sans" w:hAnsi="Open Sans" w:cs="Open Sans"/>
          <w:bCs/>
        </w:rPr>
        <w:t xml:space="preserve">. </w:t>
      </w:r>
      <w:hyperlink r:id="rId17" w:history="1">
        <w:r w:rsidR="00E10BF2" w:rsidRPr="00AC3EAF">
          <w:rPr>
            <w:rStyle w:val="Hyperlink"/>
            <w:rFonts w:ascii="Open Sans" w:hAnsi="Open Sans" w:cs="Open Sans"/>
            <w:bCs/>
            <w:color w:val="688AF8"/>
            <w:u w:val="none"/>
          </w:rPr>
          <w:t>26</w:t>
        </w:r>
      </w:hyperlink>
      <w:r w:rsidR="00AC3EAF" w:rsidRPr="00AC3EAF">
        <w:rPr>
          <w:rFonts w:ascii="Open Sans" w:hAnsi="Open Sans" w:cs="Open Sans"/>
        </w:rPr>
        <w:t>.</w:t>
      </w:r>
    </w:p>
    <w:p w14:paraId="450BE4D8" w14:textId="7B518C1A" w:rsidR="00391422" w:rsidRPr="00AC3EAF" w:rsidRDefault="00391422" w:rsidP="00295E1E">
      <w:pPr>
        <w:rPr>
          <w:rFonts w:ascii="Open Sans" w:hAnsi="Open Sans" w:cs="Open Sans"/>
        </w:rPr>
      </w:pPr>
      <w:r w:rsidRPr="00AC3EAF">
        <w:rPr>
          <w:rFonts w:ascii="Open Sans" w:hAnsi="Open Sans" w:cs="Open Sans"/>
        </w:rPr>
        <w:t xml:space="preserve">MüKoBGB/Schubert, 9. Aufl. 2021, BGB </w:t>
      </w:r>
      <w:r w:rsidR="00E10BF2" w:rsidRPr="00AC3EAF">
        <w:rPr>
          <w:rFonts w:ascii="Open Sans" w:hAnsi="Open Sans" w:cs="Open Sans"/>
        </w:rPr>
        <w:t xml:space="preserve">§ 178 </w:t>
      </w:r>
      <w:proofErr w:type="spellStart"/>
      <w:r w:rsidR="00E10BF2" w:rsidRPr="00AC3EAF">
        <w:rPr>
          <w:rFonts w:ascii="Open Sans" w:hAnsi="Open Sans" w:cs="Open Sans"/>
          <w:bCs/>
        </w:rPr>
        <w:t>Rn</w:t>
      </w:r>
      <w:proofErr w:type="spellEnd"/>
      <w:r w:rsidR="00E10BF2" w:rsidRPr="00AC3EAF">
        <w:rPr>
          <w:rFonts w:ascii="Open Sans" w:hAnsi="Open Sans" w:cs="Open Sans"/>
          <w:bCs/>
        </w:rPr>
        <w:t xml:space="preserve">. </w:t>
      </w:r>
      <w:hyperlink r:id="rId18" w:history="1">
        <w:r w:rsidR="00E10BF2" w:rsidRPr="00AC3EAF">
          <w:rPr>
            <w:rStyle w:val="Hyperlink"/>
            <w:rFonts w:ascii="Open Sans" w:hAnsi="Open Sans" w:cs="Open Sans"/>
            <w:bCs/>
            <w:color w:val="688AF8"/>
            <w:u w:val="none"/>
          </w:rPr>
          <w:t>4</w:t>
        </w:r>
      </w:hyperlink>
      <w:r w:rsidR="00AC3EAF" w:rsidRPr="00AC3EAF">
        <w:rPr>
          <w:rFonts w:ascii="Open Sans" w:hAnsi="Open Sans" w:cs="Open Sans"/>
        </w:rPr>
        <w:t>.</w:t>
      </w:r>
    </w:p>
    <w:p w14:paraId="644A36F4" w14:textId="7F304EF2" w:rsidR="00DB0427" w:rsidRPr="00AC3EAF" w:rsidRDefault="00DB0427" w:rsidP="00295E1E">
      <w:pPr>
        <w:rPr>
          <w:rFonts w:ascii="Open Sans" w:hAnsi="Open Sans" w:cs="Open Sans"/>
        </w:rPr>
      </w:pPr>
      <w:r w:rsidRPr="00AC3EAF">
        <w:rPr>
          <w:rFonts w:ascii="Open Sans" w:hAnsi="Open Sans" w:cs="Open Sans"/>
        </w:rPr>
        <w:t xml:space="preserve">BeckOK BGB/Schäfer, 64. Ed. 1.11.2022, BGB </w:t>
      </w:r>
      <w:r w:rsidR="00AC3EAF" w:rsidRPr="00AC3EAF">
        <w:rPr>
          <w:rFonts w:ascii="Open Sans" w:hAnsi="Open Sans" w:cs="Open Sans"/>
        </w:rPr>
        <w:t xml:space="preserve">§ 177 </w:t>
      </w:r>
      <w:proofErr w:type="spellStart"/>
      <w:r w:rsidR="00AC3EAF" w:rsidRPr="00AC3EAF">
        <w:rPr>
          <w:rFonts w:ascii="Open Sans" w:hAnsi="Open Sans" w:cs="Open Sans"/>
          <w:bCs/>
        </w:rPr>
        <w:t>Rn</w:t>
      </w:r>
      <w:proofErr w:type="spellEnd"/>
      <w:r w:rsidR="00AC3EAF" w:rsidRPr="00AC3EAF">
        <w:rPr>
          <w:rFonts w:ascii="Open Sans" w:hAnsi="Open Sans" w:cs="Open Sans"/>
          <w:bCs/>
        </w:rPr>
        <w:t xml:space="preserve">. </w:t>
      </w:r>
      <w:hyperlink r:id="rId19" w:history="1">
        <w:r w:rsidR="00AC3EAF" w:rsidRPr="00AC3EAF">
          <w:rPr>
            <w:rStyle w:val="Hyperlink"/>
            <w:rFonts w:ascii="Open Sans" w:hAnsi="Open Sans" w:cs="Open Sans"/>
            <w:bCs/>
            <w:color w:val="688AF8"/>
            <w:u w:val="none"/>
          </w:rPr>
          <w:t>34</w:t>
        </w:r>
      </w:hyperlink>
      <w:r w:rsidR="00AC3EAF" w:rsidRPr="00AC3EAF">
        <w:rPr>
          <w:rFonts w:ascii="Open Sans" w:hAnsi="Open Sans" w:cs="Open Sans"/>
        </w:rPr>
        <w:t>.</w:t>
      </w:r>
    </w:p>
    <w:p w14:paraId="1D96F446" w14:textId="3CDCD6FC" w:rsidR="003F40A6" w:rsidRPr="00AC3EAF" w:rsidRDefault="003F40A6" w:rsidP="00295E1E">
      <w:pPr>
        <w:rPr>
          <w:rFonts w:ascii="Open Sans" w:hAnsi="Open Sans" w:cs="Open Sans"/>
        </w:rPr>
      </w:pPr>
      <w:r w:rsidRPr="00AC3EAF">
        <w:rPr>
          <w:rFonts w:ascii="Open Sans" w:hAnsi="Open Sans" w:cs="Open Sans"/>
        </w:rPr>
        <w:t xml:space="preserve">BeckOK BGB/Schäfer, 64. Ed. 1.11.2022, BGB </w:t>
      </w:r>
      <w:r w:rsidR="00BF297A" w:rsidRPr="00AC3EAF">
        <w:rPr>
          <w:rFonts w:ascii="Open Sans" w:hAnsi="Open Sans" w:cs="Open Sans"/>
        </w:rPr>
        <w:t xml:space="preserve">§ 178 </w:t>
      </w:r>
      <w:proofErr w:type="spellStart"/>
      <w:r w:rsidR="00BF297A" w:rsidRPr="00AC3EAF">
        <w:rPr>
          <w:rFonts w:ascii="Open Sans" w:hAnsi="Open Sans" w:cs="Open Sans"/>
          <w:bCs/>
        </w:rPr>
        <w:t>Rn</w:t>
      </w:r>
      <w:proofErr w:type="spellEnd"/>
      <w:r w:rsidR="00BF297A" w:rsidRPr="00AC3EAF">
        <w:rPr>
          <w:rFonts w:ascii="Open Sans" w:hAnsi="Open Sans" w:cs="Open Sans"/>
          <w:bCs/>
        </w:rPr>
        <w:t xml:space="preserve">. </w:t>
      </w:r>
      <w:hyperlink r:id="rId20" w:history="1">
        <w:r w:rsidR="00AC3EAF" w:rsidRPr="00AC3EAF">
          <w:rPr>
            <w:rStyle w:val="Hyperlink"/>
            <w:rFonts w:ascii="Open Sans" w:hAnsi="Open Sans" w:cs="Open Sans"/>
            <w:bCs/>
            <w:color w:val="688AF8"/>
            <w:u w:val="none"/>
          </w:rPr>
          <w:t>4, 5</w:t>
        </w:r>
      </w:hyperlink>
      <w:r w:rsidR="00AC3EAF" w:rsidRPr="00AC3EAF">
        <w:rPr>
          <w:rFonts w:ascii="Open Sans" w:hAnsi="Open Sans" w:cs="Open Sans"/>
        </w:rPr>
        <w:t>.</w:t>
      </w:r>
    </w:p>
    <w:sectPr w:rsidR="003F40A6" w:rsidRPr="00AC3EA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ackson" w:date="2023-02-08T14:10:00Z" w:initials="J">
    <w:p w14:paraId="1BC84219" w14:textId="77777777" w:rsidR="00455F86" w:rsidRDefault="00455F86" w:rsidP="00E57239">
      <w:pPr>
        <w:pStyle w:val="Kommentartext"/>
      </w:pPr>
      <w:r>
        <w:rPr>
          <w:rStyle w:val="Kommentarzeichen"/>
        </w:rPr>
        <w:annotationRef/>
      </w:r>
      <w:r>
        <w:t>Nein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C842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2BC2" w16cex:dateUtc="2023-02-08T1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C84219" w16cid:durableId="278E2B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7174" w14:textId="77777777" w:rsidR="00811E4D" w:rsidRDefault="00811E4D" w:rsidP="0041069B">
      <w:pPr>
        <w:spacing w:after="0" w:line="240" w:lineRule="auto"/>
      </w:pPr>
      <w:r>
        <w:separator/>
      </w:r>
    </w:p>
  </w:endnote>
  <w:endnote w:type="continuationSeparator" w:id="0">
    <w:p w14:paraId="11FEF54F" w14:textId="77777777" w:rsidR="00811E4D" w:rsidRDefault="00811E4D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E370" w14:textId="77777777" w:rsidR="00015551" w:rsidRDefault="000155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A60D0D">
      <w:tc>
        <w:tcPr>
          <w:tcW w:w="3020" w:type="dxa"/>
        </w:tcPr>
        <w:bookmarkStart w:id="3" w:name="_Hlk64808829"/>
        <w:bookmarkStart w:id="4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2BB169AE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50BC762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775EE04C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77777777" w:rsidR="00A60D0D" w:rsidRDefault="00A60D0D" w:rsidP="0041069B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</w:p>
      </w:tc>
    </w:tr>
    <w:bookmarkEnd w:id="3"/>
    <w:bookmarkEnd w:id="4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4B3" w14:textId="77777777" w:rsidR="00015551" w:rsidRDefault="0001555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893B" w14:textId="77777777" w:rsidR="00811E4D" w:rsidRDefault="00811E4D" w:rsidP="0041069B">
      <w:pPr>
        <w:spacing w:after="0" w:line="240" w:lineRule="auto"/>
      </w:pPr>
      <w:r>
        <w:separator/>
      </w:r>
    </w:p>
  </w:footnote>
  <w:footnote w:type="continuationSeparator" w:id="0">
    <w:p w14:paraId="2B18B1B4" w14:textId="77777777" w:rsidR="00811E4D" w:rsidRDefault="00811E4D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7DDB" w14:textId="77777777" w:rsidR="00015551" w:rsidRDefault="000155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6C60" w14:textId="77777777" w:rsidR="00015551" w:rsidRDefault="0001555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050"/>
    <w:multiLevelType w:val="hybridMultilevel"/>
    <w:tmpl w:val="5F2A5E46"/>
    <w:lvl w:ilvl="0" w:tplc="DEC01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F3B2D"/>
    <w:multiLevelType w:val="hybridMultilevel"/>
    <w:tmpl w:val="789A148E"/>
    <w:lvl w:ilvl="0" w:tplc="2188E7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3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 w15:restartNumberingAfterBreak="0">
    <w:nsid w:val="18F46DDA"/>
    <w:multiLevelType w:val="hybridMultilevel"/>
    <w:tmpl w:val="A2B0CBCE"/>
    <w:lvl w:ilvl="0" w:tplc="D8AA99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C27601"/>
    <w:multiLevelType w:val="hybridMultilevel"/>
    <w:tmpl w:val="0C14D048"/>
    <w:lvl w:ilvl="0" w:tplc="33EC48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4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6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7" w15:restartNumberingAfterBreak="0">
    <w:nsid w:val="419953CD"/>
    <w:multiLevelType w:val="hybridMultilevel"/>
    <w:tmpl w:val="A6BAA67E"/>
    <w:lvl w:ilvl="0" w:tplc="24DA38C8">
      <w:start w:val="3"/>
      <w:numFmt w:val="bullet"/>
      <w:lvlText w:val="-"/>
      <w:lvlJc w:val="left"/>
      <w:pPr>
        <w:ind w:left="216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490032C"/>
    <w:multiLevelType w:val="hybridMultilevel"/>
    <w:tmpl w:val="379CC060"/>
    <w:lvl w:ilvl="0" w:tplc="1BD89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20" w15:restartNumberingAfterBreak="0">
    <w:nsid w:val="56EE2E28"/>
    <w:multiLevelType w:val="hybridMultilevel"/>
    <w:tmpl w:val="F86275AA"/>
    <w:lvl w:ilvl="0" w:tplc="61F21C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2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53209CD"/>
    <w:multiLevelType w:val="hybridMultilevel"/>
    <w:tmpl w:val="FC4A3FEC"/>
    <w:lvl w:ilvl="0" w:tplc="BDB0ACC2">
      <w:start w:val="1"/>
      <w:numFmt w:val="lowerLetter"/>
      <w:lvlText w:val="%1."/>
      <w:lvlJc w:val="left"/>
      <w:pPr>
        <w:ind w:left="1440" w:hanging="360"/>
      </w:pPr>
      <w:rPr>
        <w:rFonts w:ascii="Open Sans" w:eastAsiaTheme="minorHAnsi" w:hAnsi="Open Sans" w:cs="Open Sans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5" w15:restartNumberingAfterBreak="0">
    <w:nsid w:val="67184B49"/>
    <w:multiLevelType w:val="hybridMultilevel"/>
    <w:tmpl w:val="41BACDCA"/>
    <w:lvl w:ilvl="0" w:tplc="BFC8D2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 w15:restartNumberingAfterBreak="0">
    <w:nsid w:val="693A2AAE"/>
    <w:multiLevelType w:val="hybridMultilevel"/>
    <w:tmpl w:val="3DC2B2D8"/>
    <w:lvl w:ilvl="0" w:tplc="2452B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2" w15:restartNumberingAfterBreak="0">
    <w:nsid w:val="78313131"/>
    <w:multiLevelType w:val="hybridMultilevel"/>
    <w:tmpl w:val="684248B6"/>
    <w:lvl w:ilvl="0" w:tplc="CE5AF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34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35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576674946">
    <w:abstractNumId w:val="29"/>
  </w:num>
  <w:num w:numId="2" w16cid:durableId="834301995">
    <w:abstractNumId w:val="7"/>
  </w:num>
  <w:num w:numId="3" w16cid:durableId="2075884886">
    <w:abstractNumId w:val="10"/>
  </w:num>
  <w:num w:numId="4" w16cid:durableId="94443568">
    <w:abstractNumId w:val="31"/>
  </w:num>
  <w:num w:numId="5" w16cid:durableId="405956227">
    <w:abstractNumId w:val="35"/>
  </w:num>
  <w:num w:numId="6" w16cid:durableId="962808353">
    <w:abstractNumId w:val="19"/>
  </w:num>
  <w:num w:numId="7" w16cid:durableId="539897186">
    <w:abstractNumId w:val="14"/>
  </w:num>
  <w:num w:numId="8" w16cid:durableId="1133527274">
    <w:abstractNumId w:val="24"/>
  </w:num>
  <w:num w:numId="9" w16cid:durableId="1176847345">
    <w:abstractNumId w:val="30"/>
  </w:num>
  <w:num w:numId="10" w16cid:durableId="1576278613">
    <w:abstractNumId w:val="15"/>
  </w:num>
  <w:num w:numId="11" w16cid:durableId="147870107">
    <w:abstractNumId w:val="34"/>
  </w:num>
  <w:num w:numId="12" w16cid:durableId="887490951">
    <w:abstractNumId w:val="16"/>
  </w:num>
  <w:num w:numId="13" w16cid:durableId="2115591819">
    <w:abstractNumId w:val="33"/>
  </w:num>
  <w:num w:numId="14" w16cid:durableId="1618029600">
    <w:abstractNumId w:val="26"/>
  </w:num>
  <w:num w:numId="15" w16cid:durableId="1465539682">
    <w:abstractNumId w:val="13"/>
  </w:num>
  <w:num w:numId="16" w16cid:durableId="1498960041">
    <w:abstractNumId w:val="2"/>
  </w:num>
  <w:num w:numId="17" w16cid:durableId="623123017">
    <w:abstractNumId w:val="21"/>
  </w:num>
  <w:num w:numId="18" w16cid:durableId="799033343">
    <w:abstractNumId w:val="4"/>
  </w:num>
  <w:num w:numId="19" w16cid:durableId="386490405">
    <w:abstractNumId w:val="22"/>
  </w:num>
  <w:num w:numId="20" w16cid:durableId="1505242229">
    <w:abstractNumId w:val="5"/>
  </w:num>
  <w:num w:numId="21" w16cid:durableId="240482462">
    <w:abstractNumId w:val="12"/>
  </w:num>
  <w:num w:numId="22" w16cid:durableId="1565331445">
    <w:abstractNumId w:val="3"/>
  </w:num>
  <w:num w:numId="23" w16cid:durableId="2125492630">
    <w:abstractNumId w:val="11"/>
  </w:num>
  <w:num w:numId="24" w16cid:durableId="445201857">
    <w:abstractNumId w:val="28"/>
  </w:num>
  <w:num w:numId="25" w16cid:durableId="244459661">
    <w:abstractNumId w:val="8"/>
  </w:num>
  <w:num w:numId="26" w16cid:durableId="275991797">
    <w:abstractNumId w:val="27"/>
  </w:num>
  <w:num w:numId="27" w16cid:durableId="1324620574">
    <w:abstractNumId w:val="18"/>
  </w:num>
  <w:num w:numId="28" w16cid:durableId="822549925">
    <w:abstractNumId w:val="6"/>
  </w:num>
  <w:num w:numId="29" w16cid:durableId="1374692037">
    <w:abstractNumId w:val="1"/>
  </w:num>
  <w:num w:numId="30" w16cid:durableId="1713308841">
    <w:abstractNumId w:val="0"/>
  </w:num>
  <w:num w:numId="31" w16cid:durableId="871267699">
    <w:abstractNumId w:val="23"/>
  </w:num>
  <w:num w:numId="32" w16cid:durableId="1149245580">
    <w:abstractNumId w:val="32"/>
  </w:num>
  <w:num w:numId="33" w16cid:durableId="1137140830">
    <w:abstractNumId w:val="20"/>
  </w:num>
  <w:num w:numId="34" w16cid:durableId="826895699">
    <w:abstractNumId w:val="25"/>
  </w:num>
  <w:num w:numId="35" w16cid:durableId="1706835215">
    <w:abstractNumId w:val="9"/>
  </w:num>
  <w:num w:numId="36" w16cid:durableId="8206659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kson">
    <w15:presenceInfo w15:providerId="Windows Live" w15:userId="c1acf6a7c5e7ef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15551"/>
    <w:rsid w:val="000361EF"/>
    <w:rsid w:val="00040184"/>
    <w:rsid w:val="001007D9"/>
    <w:rsid w:val="0010748A"/>
    <w:rsid w:val="00152282"/>
    <w:rsid w:val="00160722"/>
    <w:rsid w:val="00166CE5"/>
    <w:rsid w:val="0017497A"/>
    <w:rsid w:val="00181756"/>
    <w:rsid w:val="00185932"/>
    <w:rsid w:val="00192777"/>
    <w:rsid w:val="00197A4E"/>
    <w:rsid w:val="001B59C0"/>
    <w:rsid w:val="001B7FAF"/>
    <w:rsid w:val="001C1F01"/>
    <w:rsid w:val="001C29DC"/>
    <w:rsid w:val="001C7CE0"/>
    <w:rsid w:val="00203BBC"/>
    <w:rsid w:val="00216ADA"/>
    <w:rsid w:val="00216C17"/>
    <w:rsid w:val="002230EF"/>
    <w:rsid w:val="002577DC"/>
    <w:rsid w:val="00257A0B"/>
    <w:rsid w:val="00295E1E"/>
    <w:rsid w:val="002C0462"/>
    <w:rsid w:val="002C3C75"/>
    <w:rsid w:val="002C7B26"/>
    <w:rsid w:val="003541B1"/>
    <w:rsid w:val="00363CF9"/>
    <w:rsid w:val="00387B3F"/>
    <w:rsid w:val="00391422"/>
    <w:rsid w:val="00397A7D"/>
    <w:rsid w:val="003A1148"/>
    <w:rsid w:val="003D1EF3"/>
    <w:rsid w:val="003D5108"/>
    <w:rsid w:val="003F40A6"/>
    <w:rsid w:val="0041069B"/>
    <w:rsid w:val="0041536D"/>
    <w:rsid w:val="00415653"/>
    <w:rsid w:val="00445655"/>
    <w:rsid w:val="00446D1C"/>
    <w:rsid w:val="00455F86"/>
    <w:rsid w:val="00473757"/>
    <w:rsid w:val="00476068"/>
    <w:rsid w:val="00490BC4"/>
    <w:rsid w:val="004A37F2"/>
    <w:rsid w:val="004A7925"/>
    <w:rsid w:val="004F059B"/>
    <w:rsid w:val="005058DE"/>
    <w:rsid w:val="00511048"/>
    <w:rsid w:val="005175E2"/>
    <w:rsid w:val="00517716"/>
    <w:rsid w:val="00521399"/>
    <w:rsid w:val="00522A4E"/>
    <w:rsid w:val="0053716E"/>
    <w:rsid w:val="005566B9"/>
    <w:rsid w:val="005654E0"/>
    <w:rsid w:val="00573C52"/>
    <w:rsid w:val="00574C17"/>
    <w:rsid w:val="005A556D"/>
    <w:rsid w:val="005E2DC1"/>
    <w:rsid w:val="005F5E37"/>
    <w:rsid w:val="005F668B"/>
    <w:rsid w:val="006178E1"/>
    <w:rsid w:val="006242E8"/>
    <w:rsid w:val="00644C3E"/>
    <w:rsid w:val="0068303B"/>
    <w:rsid w:val="00685E8F"/>
    <w:rsid w:val="0069345A"/>
    <w:rsid w:val="00693D80"/>
    <w:rsid w:val="0069596F"/>
    <w:rsid w:val="006B7D18"/>
    <w:rsid w:val="006D77EF"/>
    <w:rsid w:val="006E1970"/>
    <w:rsid w:val="006E34BE"/>
    <w:rsid w:val="006F2000"/>
    <w:rsid w:val="00712496"/>
    <w:rsid w:val="00715314"/>
    <w:rsid w:val="00722F4A"/>
    <w:rsid w:val="0072427B"/>
    <w:rsid w:val="00744F0C"/>
    <w:rsid w:val="00756EF3"/>
    <w:rsid w:val="00763B80"/>
    <w:rsid w:val="0077736A"/>
    <w:rsid w:val="007C4158"/>
    <w:rsid w:val="007C4C5F"/>
    <w:rsid w:val="007D1C6B"/>
    <w:rsid w:val="007D788D"/>
    <w:rsid w:val="007E2DF6"/>
    <w:rsid w:val="007E3813"/>
    <w:rsid w:val="007F54BD"/>
    <w:rsid w:val="00807D31"/>
    <w:rsid w:val="00811E4D"/>
    <w:rsid w:val="008245E1"/>
    <w:rsid w:val="00850B82"/>
    <w:rsid w:val="00856EB0"/>
    <w:rsid w:val="008627A7"/>
    <w:rsid w:val="00867BCD"/>
    <w:rsid w:val="008953F3"/>
    <w:rsid w:val="008959AC"/>
    <w:rsid w:val="008975C9"/>
    <w:rsid w:val="008A1388"/>
    <w:rsid w:val="008A3FD4"/>
    <w:rsid w:val="008B5F65"/>
    <w:rsid w:val="008C014D"/>
    <w:rsid w:val="008C3165"/>
    <w:rsid w:val="008C7B6C"/>
    <w:rsid w:val="008D67C4"/>
    <w:rsid w:val="008E352C"/>
    <w:rsid w:val="008E497E"/>
    <w:rsid w:val="00903AB4"/>
    <w:rsid w:val="00937C2F"/>
    <w:rsid w:val="00953FED"/>
    <w:rsid w:val="0096296C"/>
    <w:rsid w:val="00971771"/>
    <w:rsid w:val="00985311"/>
    <w:rsid w:val="009A0261"/>
    <w:rsid w:val="009A223F"/>
    <w:rsid w:val="009A7135"/>
    <w:rsid w:val="009B5901"/>
    <w:rsid w:val="00A07F0F"/>
    <w:rsid w:val="00A561CB"/>
    <w:rsid w:val="00A571C3"/>
    <w:rsid w:val="00A60D0D"/>
    <w:rsid w:val="00A6156E"/>
    <w:rsid w:val="00A84793"/>
    <w:rsid w:val="00AA0439"/>
    <w:rsid w:val="00AA35F3"/>
    <w:rsid w:val="00AA7B4B"/>
    <w:rsid w:val="00AB573A"/>
    <w:rsid w:val="00AB6226"/>
    <w:rsid w:val="00AC3EAF"/>
    <w:rsid w:val="00AE0EEE"/>
    <w:rsid w:val="00AE3779"/>
    <w:rsid w:val="00B20871"/>
    <w:rsid w:val="00B319F6"/>
    <w:rsid w:val="00B32C8B"/>
    <w:rsid w:val="00B65D0D"/>
    <w:rsid w:val="00B7208C"/>
    <w:rsid w:val="00B73C9B"/>
    <w:rsid w:val="00B96F5B"/>
    <w:rsid w:val="00BB2365"/>
    <w:rsid w:val="00BC23BF"/>
    <w:rsid w:val="00BE13DA"/>
    <w:rsid w:val="00BE65C7"/>
    <w:rsid w:val="00BF297A"/>
    <w:rsid w:val="00BF4FBB"/>
    <w:rsid w:val="00C2164B"/>
    <w:rsid w:val="00C27934"/>
    <w:rsid w:val="00C35596"/>
    <w:rsid w:val="00C367EB"/>
    <w:rsid w:val="00C4166E"/>
    <w:rsid w:val="00CA46B7"/>
    <w:rsid w:val="00CE0409"/>
    <w:rsid w:val="00CE4B91"/>
    <w:rsid w:val="00CF47F5"/>
    <w:rsid w:val="00D01277"/>
    <w:rsid w:val="00D15FA7"/>
    <w:rsid w:val="00D617DC"/>
    <w:rsid w:val="00D7007F"/>
    <w:rsid w:val="00D7592C"/>
    <w:rsid w:val="00D76651"/>
    <w:rsid w:val="00D902C2"/>
    <w:rsid w:val="00DB0427"/>
    <w:rsid w:val="00DC75CD"/>
    <w:rsid w:val="00DD34DC"/>
    <w:rsid w:val="00DE7393"/>
    <w:rsid w:val="00DF6C2F"/>
    <w:rsid w:val="00DF7CE6"/>
    <w:rsid w:val="00E00DCA"/>
    <w:rsid w:val="00E10BF2"/>
    <w:rsid w:val="00E31E5E"/>
    <w:rsid w:val="00E471C9"/>
    <w:rsid w:val="00E65E84"/>
    <w:rsid w:val="00E715C3"/>
    <w:rsid w:val="00E950D0"/>
    <w:rsid w:val="00EA4BF1"/>
    <w:rsid w:val="00EC5E09"/>
    <w:rsid w:val="00ED0078"/>
    <w:rsid w:val="00ED3CA5"/>
    <w:rsid w:val="00EE4BBA"/>
    <w:rsid w:val="00EE5B5C"/>
    <w:rsid w:val="00EF11AF"/>
    <w:rsid w:val="00EF4985"/>
    <w:rsid w:val="00F41C05"/>
    <w:rsid w:val="00F45402"/>
    <w:rsid w:val="00F66B1B"/>
    <w:rsid w:val="00F77DA3"/>
    <w:rsid w:val="00F90F16"/>
    <w:rsid w:val="00FA6682"/>
    <w:rsid w:val="00FB6638"/>
    <w:rsid w:val="00FC6695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55F8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55F8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55F8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5F8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5F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eck-online.beck.de/?vpath=bibdata/komm/MuekoBGB_9_Band1/BGB/cont/MuekoBGB.BGB.p178.glIII.gl1.htm" TargetMode="External"/><Relationship Id="rId18" Type="http://schemas.openxmlformats.org/officeDocument/2006/relationships/hyperlink" Target="https://beck-online.beck.de/?vpath=bibdata/komm/MuekoBGB_9_Band1/BGB/cont/MuekoBGB.BGB.p178.glIII.gl1.htm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omments" Target="comments.xml"/><Relationship Id="rId12" Type="http://schemas.openxmlformats.org/officeDocument/2006/relationships/hyperlink" Target="https://beck-online.beck.de/?vpath=bibdata/komm/BeckOKBGB_64/BGB/cont/BECKOKBGB.BGB.P178.glII.gl3.htm" TargetMode="External"/><Relationship Id="rId17" Type="http://schemas.openxmlformats.org/officeDocument/2006/relationships/hyperlink" Target="https://beck-online.beck.de/?vpath=bibdata%2Fkomm%2FMuekoBGB_9_Band1%2FBGB%2Fcont%2FMuekoBGB%2EBGB%2Ep177%2EglIV%2Egl3%2Ehtm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beck-online.beck.de/?vpath=bibdata/komm/MuekoBGB_9_Band1/BGB/cont/MuekoBGB.BGB.p178.glIII.gl1.htm" TargetMode="External"/><Relationship Id="rId20" Type="http://schemas.openxmlformats.org/officeDocument/2006/relationships/hyperlink" Target="https://beck-online.beck.de/?vpath=bibdata/komm/BeckOKBGB_64/BGB/cont/BECKOKBGB.BGB.P178.glII.gl3.ht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ck-online.beck.de/?vpath=bibdata%2fkomm%2fBeckOKBGB_64%2fBGB%2fcont%2fBECKOKBGB%2eBGB%2eP177%2eglIII%2egl4%2eglA%2ehtm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beck-online.beck.de/?vpath=bibdata%2Fkomm%2FMuekoBGB_9_Band1%2FBGB%2Fcont%2FMuekoBGB%2EBGB%2Ep177%2EglIV%2Egl3%2Ehtm" TargetMode="External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yperlink" Target="https://beck-online.beck.de/?vpath=bibdata%2fkomm%2fBeckOKBGB_64%2fBGB%2fcont%2fBECKOKBGB%2eBGB%2eP177%2eglIII%2egl4%2eglA%2ehtm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beck-online.beck.de/?vpath=bibdata%2Fkomm%2FMuekoBGB_9_Band1%2FBGB%2Fcont%2FMuekoBGB%2EBGB%2Ep177%2EglIV%2Egl3%2Eht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1360</Words>
  <Characters>8574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90</cp:revision>
  <cp:lastPrinted>2022-02-16T20:14:00Z</cp:lastPrinted>
  <dcterms:created xsi:type="dcterms:W3CDTF">2023-02-02T17:48:00Z</dcterms:created>
  <dcterms:modified xsi:type="dcterms:W3CDTF">2023-02-20T14:00:00Z</dcterms:modified>
</cp:coreProperties>
</file>