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5E4E" w14:textId="77777777" w:rsidR="00140545" w:rsidRPr="00517716" w:rsidRDefault="00140545" w:rsidP="00140545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_Hlk98334587"/>
      <w:r w:rsidRPr="005772EE">
        <w:rPr>
          <w:rFonts w:ascii="Open Sans" w:hAnsi="Open Sans" w:cs="Open Sans"/>
          <w:b/>
          <w:bCs/>
          <w:sz w:val="36"/>
          <w:szCs w:val="36"/>
        </w:rPr>
        <w:t>§§ 104 ff. BGB</w:t>
      </w:r>
      <w:r>
        <w:rPr>
          <w:rFonts w:ascii="Open Sans" w:hAnsi="Open Sans" w:cs="Open Sans"/>
          <w:b/>
          <w:bCs/>
          <w:sz w:val="36"/>
          <w:szCs w:val="36"/>
        </w:rPr>
        <w:t xml:space="preserve"> – Geschäftsunfähigkeit</w:t>
      </w:r>
    </w:p>
    <w:bookmarkEnd w:id="0"/>
    <w:p w14:paraId="4538D0C1" w14:textId="77777777" w:rsidR="005A1B6D" w:rsidRDefault="005A1B6D" w:rsidP="005A1B6D">
      <w:pPr>
        <w:pStyle w:val="SchemaDefinitionenHeader"/>
      </w:pPr>
      <w:r>
        <w:t>Definitionen</w:t>
      </w:r>
    </w:p>
    <w:p w14:paraId="2FAD482B" w14:textId="77777777" w:rsidR="005A1B6D" w:rsidRDefault="005A1B6D" w:rsidP="005A1B6D">
      <w:pPr>
        <w:pStyle w:val="SchemaDefinitionenHeader"/>
        <w:rPr>
          <w:color w:val="auto"/>
        </w:rPr>
      </w:pPr>
    </w:p>
    <w:p w14:paraId="49FF9FC4" w14:textId="56953336" w:rsidR="00EA3BCC" w:rsidRPr="00C1215C" w:rsidRDefault="00EA3BCC" w:rsidP="00EA3BCC">
      <w:pPr>
        <w:pStyle w:val="SchemaDefinitionenHeader"/>
        <w:rPr>
          <w:color w:val="auto"/>
        </w:rPr>
      </w:pPr>
      <w:r w:rsidRPr="00C1215C">
        <w:rPr>
          <w:iCs/>
          <w:color w:val="auto"/>
        </w:rPr>
        <w:t>Geschäftsunfähigkeit</w:t>
      </w:r>
    </w:p>
    <w:p w14:paraId="6EA0EE1A" w14:textId="041A3824" w:rsidR="00EA3BCC" w:rsidRDefault="00FD1776" w:rsidP="00EA3BCC">
      <w:pPr>
        <w:pStyle w:val="SchemaDefinitionenHeader"/>
        <w:ind w:left="2124"/>
        <w:rPr>
          <w:color w:val="auto"/>
        </w:rPr>
      </w:pPr>
      <w:r w:rsidRPr="00FD1776">
        <w:rPr>
          <w:i/>
          <w:iCs/>
          <w:color w:val="auto"/>
        </w:rPr>
        <w:t xml:space="preserve">Geschäftsunfähig </w:t>
      </w:r>
      <w:r w:rsidRPr="00FD1776">
        <w:rPr>
          <w:color w:val="auto"/>
        </w:rPr>
        <w:t>ist, wer nicht das siebente Lebensjahr vollendet hat. D.h. also, dass Kinder unter sieben Jahren geschäftsunfähig sind.</w:t>
      </w:r>
      <w:r w:rsidR="00F26C6E">
        <w:rPr>
          <w:color w:val="auto"/>
        </w:rPr>
        <w:t xml:space="preserve"> Willenserklärungen von ihnen sind nichtig, </w:t>
      </w:r>
      <w:r w:rsidR="00F26C6E" w:rsidRPr="00C10179">
        <w:rPr>
          <w:color w:val="auto"/>
        </w:rPr>
        <w:t>§</w:t>
      </w:r>
      <w:r w:rsidR="00F26C6E">
        <w:rPr>
          <w:color w:val="auto"/>
        </w:rPr>
        <w:t>§ 104,</w:t>
      </w:r>
      <w:r w:rsidR="00F26C6E" w:rsidRPr="00C10179">
        <w:rPr>
          <w:color w:val="auto"/>
        </w:rPr>
        <w:t xml:space="preserve"> 105 </w:t>
      </w:r>
      <w:r w:rsidR="00F26C6E">
        <w:rPr>
          <w:color w:val="auto"/>
        </w:rPr>
        <w:t xml:space="preserve">I </w:t>
      </w:r>
      <w:r w:rsidR="00F26C6E" w:rsidRPr="00C10179">
        <w:rPr>
          <w:color w:val="auto"/>
        </w:rPr>
        <w:t>BGB</w:t>
      </w:r>
      <w:r w:rsidR="00F26C6E">
        <w:rPr>
          <w:color w:val="auto"/>
        </w:rPr>
        <w:t>.</w:t>
      </w:r>
    </w:p>
    <w:p w14:paraId="2EDB5BB9" w14:textId="77777777" w:rsidR="00EA3BCC" w:rsidRPr="00C10179" w:rsidRDefault="00EA3BCC" w:rsidP="00EA3BCC">
      <w:pPr>
        <w:pStyle w:val="SchemaDefinitionenHeader"/>
        <w:ind w:left="1068"/>
        <w:rPr>
          <w:color w:val="auto"/>
        </w:rPr>
      </w:pPr>
    </w:p>
    <w:p w14:paraId="305AA0D9" w14:textId="34DA7CE1" w:rsidR="00EA3BCC" w:rsidRPr="00C1215C" w:rsidRDefault="00EA3BCC" w:rsidP="00EA3BCC">
      <w:pPr>
        <w:pStyle w:val="SchemaDefinitionenHeader"/>
        <w:rPr>
          <w:color w:val="auto"/>
        </w:rPr>
      </w:pPr>
      <w:r w:rsidRPr="00C1215C">
        <w:rPr>
          <w:iCs/>
          <w:color w:val="auto"/>
        </w:rPr>
        <w:t>Beschränkte Geschäftsfähigkeit</w:t>
      </w:r>
    </w:p>
    <w:p w14:paraId="1FD97A1A" w14:textId="66DB62E5" w:rsidR="00EA3BCC" w:rsidRDefault="00EA3BCC" w:rsidP="00EA3BCC">
      <w:pPr>
        <w:pStyle w:val="SchemaDefinitionenHeader"/>
        <w:ind w:left="2124"/>
        <w:rPr>
          <w:color w:val="auto"/>
        </w:rPr>
      </w:pPr>
      <w:r>
        <w:rPr>
          <w:color w:val="auto"/>
        </w:rPr>
        <w:t>Beschränkt geschäftsfähig sind Kinder bzw. Jugendliche zwischen sieben und 18 Jahren.</w:t>
      </w:r>
    </w:p>
    <w:p w14:paraId="752E060B" w14:textId="77777777" w:rsidR="00EA3BCC" w:rsidRPr="00C10179" w:rsidRDefault="00EA3BCC" w:rsidP="00EA3BCC">
      <w:pPr>
        <w:pStyle w:val="SchemaDefinitionenHeader"/>
        <w:rPr>
          <w:color w:val="auto"/>
        </w:rPr>
      </w:pPr>
    </w:p>
    <w:p w14:paraId="01AAC298" w14:textId="3CF58A8C" w:rsidR="00EA3BCC" w:rsidRPr="00C1215C" w:rsidRDefault="00EA3BCC" w:rsidP="00EA3BCC">
      <w:pPr>
        <w:pStyle w:val="SchemaDefinitionenHeader"/>
        <w:rPr>
          <w:b/>
          <w:color w:val="auto"/>
        </w:rPr>
      </w:pPr>
      <w:r w:rsidRPr="00C1215C">
        <w:rPr>
          <w:iCs/>
          <w:color w:val="auto"/>
        </w:rPr>
        <w:t>Unbeschränkte Geschäftsfähigkeit</w:t>
      </w:r>
    </w:p>
    <w:p w14:paraId="0EF7F898" w14:textId="0A00F34E" w:rsidR="00EA3BCC" w:rsidRPr="00075567" w:rsidRDefault="00EA3BCC" w:rsidP="00EA3BCC">
      <w:pPr>
        <w:pStyle w:val="SchemaDefinitionenHeader"/>
        <w:ind w:left="2124"/>
        <w:rPr>
          <w:b/>
          <w:color w:val="auto"/>
        </w:rPr>
      </w:pPr>
      <w:r>
        <w:rPr>
          <w:color w:val="auto"/>
        </w:rPr>
        <w:t xml:space="preserve">Grundsätzlich ist jede volljährige Person im Umkehrschluss zu </w:t>
      </w:r>
      <w:r w:rsidR="00C1215C">
        <w:rPr>
          <w:color w:val="auto"/>
        </w:rPr>
        <w:br/>
      </w:r>
      <w:r>
        <w:rPr>
          <w:color w:val="auto"/>
        </w:rPr>
        <w:t>§§ 104, 106 BGB voll geschäftsfähig.</w:t>
      </w:r>
    </w:p>
    <w:p w14:paraId="56B09F66" w14:textId="77777777" w:rsidR="00EA3BCC" w:rsidRDefault="00EA3BCC" w:rsidP="005A1B6D">
      <w:pPr>
        <w:pStyle w:val="SchemaDefinitionenHeader"/>
        <w:rPr>
          <w:color w:val="auto"/>
        </w:rPr>
      </w:pPr>
    </w:p>
    <w:p w14:paraId="4230FAB3" w14:textId="3F51D87C" w:rsidR="006A326A" w:rsidRDefault="006A326A" w:rsidP="005A1B6D">
      <w:pPr>
        <w:pStyle w:val="SchemaDefinitionenHeader"/>
        <w:rPr>
          <w:color w:val="auto"/>
        </w:rPr>
      </w:pPr>
      <w:proofErr w:type="spellStart"/>
      <w:r>
        <w:rPr>
          <w:color w:val="auto"/>
        </w:rPr>
        <w:t>Lucidum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intervallum</w:t>
      </w:r>
      <w:proofErr w:type="spellEnd"/>
      <w:r>
        <w:rPr>
          <w:color w:val="auto"/>
        </w:rPr>
        <w:t xml:space="preserve"> </w:t>
      </w:r>
    </w:p>
    <w:p w14:paraId="685B4A28" w14:textId="3F2BC5A4" w:rsidR="006A326A" w:rsidRDefault="00D51388" w:rsidP="00D51388">
      <w:pPr>
        <w:pStyle w:val="SchemaDefinitionenHeader"/>
        <w:ind w:left="2124"/>
        <w:rPr>
          <w:color w:val="auto"/>
        </w:rPr>
      </w:pPr>
      <w:r w:rsidRPr="00D51388">
        <w:rPr>
          <w:color w:val="auto"/>
        </w:rPr>
        <w:t xml:space="preserve">Willenserklärungen, die </w:t>
      </w:r>
      <w:r>
        <w:rPr>
          <w:color w:val="auto"/>
        </w:rPr>
        <w:t>von einer Person</w:t>
      </w:r>
      <w:r w:rsidR="00C812BB">
        <w:rPr>
          <w:color w:val="auto"/>
        </w:rPr>
        <w:t xml:space="preserve"> abgegeben werden,</w:t>
      </w:r>
      <w:r>
        <w:rPr>
          <w:color w:val="auto"/>
        </w:rPr>
        <w:t xml:space="preserve"> die sich </w:t>
      </w:r>
      <w:r w:rsidR="00C52EAE">
        <w:rPr>
          <w:color w:val="auto"/>
        </w:rPr>
        <w:t xml:space="preserve">in einem dauerhaften, die freie Willensbestimmung ausschließenden Zustand krankhafter Störung der </w:t>
      </w:r>
      <w:r w:rsidR="00915041">
        <w:rPr>
          <w:color w:val="auto"/>
        </w:rPr>
        <w:t>Ges</w:t>
      </w:r>
      <w:r w:rsidR="00C52EAE">
        <w:rPr>
          <w:color w:val="auto"/>
        </w:rPr>
        <w:t xml:space="preserve">chäftstätigkeit befindet, sind ausnahmsweise nicht </w:t>
      </w:r>
      <w:r w:rsidR="000050D8">
        <w:rPr>
          <w:color w:val="auto"/>
        </w:rPr>
        <w:t xml:space="preserve">nichtig, wenn sie </w:t>
      </w:r>
      <w:r w:rsidRPr="00D51388">
        <w:rPr>
          <w:color w:val="auto"/>
        </w:rPr>
        <w:t>in einem sogenannten lichten Augenblick (</w:t>
      </w:r>
      <w:proofErr w:type="spellStart"/>
      <w:r w:rsidRPr="000050D8">
        <w:rPr>
          <w:i/>
          <w:iCs/>
          <w:color w:val="auto"/>
        </w:rPr>
        <w:t>lucidum</w:t>
      </w:r>
      <w:proofErr w:type="spellEnd"/>
      <w:r w:rsidRPr="000050D8">
        <w:rPr>
          <w:i/>
          <w:iCs/>
          <w:color w:val="auto"/>
        </w:rPr>
        <w:t xml:space="preserve"> </w:t>
      </w:r>
      <w:proofErr w:type="spellStart"/>
      <w:r w:rsidRPr="000050D8">
        <w:rPr>
          <w:i/>
          <w:iCs/>
          <w:color w:val="auto"/>
        </w:rPr>
        <w:t>intervallum</w:t>
      </w:r>
      <w:proofErr w:type="spellEnd"/>
      <w:r w:rsidRPr="00D51388">
        <w:rPr>
          <w:color w:val="auto"/>
        </w:rPr>
        <w:t>) abgegeben wurde</w:t>
      </w:r>
      <w:r w:rsidR="00915041">
        <w:rPr>
          <w:color w:val="auto"/>
        </w:rPr>
        <w:t>n</w:t>
      </w:r>
      <w:r w:rsidR="000050D8">
        <w:rPr>
          <w:color w:val="auto"/>
        </w:rPr>
        <w:t xml:space="preserve">. </w:t>
      </w:r>
      <w:r w:rsidRPr="00D51388">
        <w:rPr>
          <w:color w:val="auto"/>
        </w:rPr>
        <w:t>Wenn sich beispielsweise eine demente Person wieder völlig in ihren gesunden Zustand versetzt, kann sie für diese Zeit Geschäfte abschließen</w:t>
      </w:r>
      <w:r w:rsidR="000050D8">
        <w:rPr>
          <w:color w:val="auto"/>
        </w:rPr>
        <w:t>.</w:t>
      </w:r>
    </w:p>
    <w:p w14:paraId="23549F99" w14:textId="1C6EFA72" w:rsidR="00D51388" w:rsidRDefault="00D51388" w:rsidP="005A1B6D">
      <w:pPr>
        <w:pStyle w:val="SchemaDefinitionenHeader"/>
        <w:rPr>
          <w:color w:val="auto"/>
        </w:rPr>
      </w:pPr>
    </w:p>
    <w:p w14:paraId="21DE08C1" w14:textId="77777777" w:rsidR="0003604C" w:rsidRPr="0003604C" w:rsidRDefault="0003604C" w:rsidP="0003604C">
      <w:pPr>
        <w:pStyle w:val="SchemaDefinitionenHeader"/>
        <w:rPr>
          <w:color w:val="auto"/>
        </w:rPr>
      </w:pPr>
      <w:r w:rsidRPr="0003604C">
        <w:rPr>
          <w:color w:val="auto"/>
        </w:rPr>
        <w:t>Partielle Geschäftsunfähigkeit</w:t>
      </w:r>
    </w:p>
    <w:p w14:paraId="1BF6A531" w14:textId="4F08DB9D" w:rsidR="0003604C" w:rsidRDefault="0003604C" w:rsidP="0003604C">
      <w:pPr>
        <w:pStyle w:val="SchemaDefinitionenHeader"/>
        <w:ind w:left="2124"/>
        <w:rPr>
          <w:color w:val="auto"/>
        </w:rPr>
      </w:pPr>
      <w:r>
        <w:rPr>
          <w:color w:val="auto"/>
        </w:rPr>
        <w:t>Auch ist es möglich, dass eine Person nicht in Bezug auf alle Geschäfte in der freien Willensbildung, sondern nur in Bezug auf bestimmte Geschäfte bzw. Geschäftsbereiche</w:t>
      </w:r>
      <w:r w:rsidRPr="00340C3D">
        <w:rPr>
          <w:color w:val="auto"/>
        </w:rPr>
        <w:t xml:space="preserve"> </w:t>
      </w:r>
      <w:r>
        <w:rPr>
          <w:color w:val="auto"/>
        </w:rPr>
        <w:t>beeinträchtigt ist.</w:t>
      </w:r>
    </w:p>
    <w:p w14:paraId="20DF1ED9" w14:textId="77777777" w:rsidR="0003604C" w:rsidRDefault="0003604C" w:rsidP="005A1B6D">
      <w:pPr>
        <w:pStyle w:val="SchemaDefinitionenHeader"/>
        <w:rPr>
          <w:color w:val="auto"/>
        </w:rPr>
      </w:pPr>
    </w:p>
    <w:p w14:paraId="05C0F09D" w14:textId="77777777" w:rsidR="00DC4BD7" w:rsidRDefault="00DC4BD7">
      <w:pPr>
        <w:rPr>
          <w:rFonts w:ascii="Open Sans" w:hAnsi="Open Sans" w:cs="Open Sans"/>
        </w:rPr>
      </w:pPr>
      <w:r>
        <w:br w:type="page"/>
      </w:r>
    </w:p>
    <w:p w14:paraId="6A274DFD" w14:textId="52183548" w:rsidR="00DC4BD7" w:rsidRPr="00DC4BD7" w:rsidRDefault="00DC4BD7" w:rsidP="00DC4BD7">
      <w:pPr>
        <w:pStyle w:val="SchemaDefinitionenHeader"/>
        <w:rPr>
          <w:color w:val="auto"/>
        </w:rPr>
      </w:pPr>
      <w:r w:rsidRPr="00DC4BD7">
        <w:rPr>
          <w:color w:val="auto"/>
        </w:rPr>
        <w:lastRenderedPageBreak/>
        <w:t>Bewusstlosigkeit</w:t>
      </w:r>
      <w:r>
        <w:rPr>
          <w:color w:val="auto"/>
        </w:rPr>
        <w:t>, § 105 II BGB</w:t>
      </w:r>
    </w:p>
    <w:p w14:paraId="5F1600BD" w14:textId="654750FA" w:rsidR="00DC4BD7" w:rsidRDefault="00DC4BD7" w:rsidP="00DC4BD7">
      <w:pPr>
        <w:pStyle w:val="SchemaDefinitionenHeader"/>
        <w:ind w:left="2124"/>
        <w:rPr>
          <w:color w:val="auto"/>
        </w:rPr>
      </w:pPr>
      <w:r w:rsidRPr="00DC4BD7">
        <w:rPr>
          <w:i/>
          <w:iCs/>
          <w:color w:val="auto"/>
        </w:rPr>
        <w:t>Bewusstlosigkeit</w:t>
      </w:r>
      <w:r>
        <w:rPr>
          <w:color w:val="auto"/>
        </w:rPr>
        <w:t xml:space="preserve"> kann schon systematisch nicht Ohnmacht bedeuten, da dann bereits mangels Handlungswille keine Willenserklärung vorliegt.</w:t>
      </w:r>
    </w:p>
    <w:p w14:paraId="507A7822" w14:textId="77777777" w:rsidR="00DC4BD7" w:rsidRDefault="00DC4BD7" w:rsidP="00DC4BD7">
      <w:pPr>
        <w:pStyle w:val="SchemaDefinitionenHeader"/>
        <w:rPr>
          <w:color w:val="auto"/>
        </w:rPr>
      </w:pPr>
    </w:p>
    <w:p w14:paraId="4F670B77" w14:textId="77777777" w:rsidR="000E4978" w:rsidRDefault="000E4978" w:rsidP="00DC4BD7">
      <w:pPr>
        <w:pStyle w:val="SchemaDefinitionenHeader"/>
        <w:rPr>
          <w:color w:val="auto"/>
        </w:rPr>
      </w:pPr>
    </w:p>
    <w:p w14:paraId="6BDC0CC2" w14:textId="77777777" w:rsidR="005D1113" w:rsidRPr="00D96BD2" w:rsidRDefault="005D1113" w:rsidP="005D1113">
      <w:pPr>
        <w:jc w:val="both"/>
        <w:rPr>
          <w:rFonts w:ascii="Open Sans" w:hAnsi="Open Sans" w:cs="Open Sans"/>
          <w:bCs/>
        </w:rPr>
      </w:pPr>
      <w:bookmarkStart w:id="1" w:name="_Hlk110621949"/>
      <w:r w:rsidRPr="00D96BD2">
        <w:rPr>
          <w:rFonts w:ascii="Open Sans" w:hAnsi="Open Sans" w:cs="Open Sans"/>
          <w:bCs/>
        </w:rPr>
        <w:t>Quellen:</w:t>
      </w:r>
    </w:p>
    <w:p w14:paraId="73E26A2E" w14:textId="77777777" w:rsidR="005D1113" w:rsidRPr="00AD2ED5" w:rsidRDefault="005D1113" w:rsidP="005D1113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  <w:i/>
          <w:iCs/>
        </w:rPr>
        <w:t>Ellenberger</w:t>
      </w:r>
      <w:r w:rsidRPr="00AD2ED5">
        <w:rPr>
          <w:rFonts w:ascii="Open Sans" w:hAnsi="Open Sans" w:cs="Open Sans"/>
          <w:bCs/>
        </w:rPr>
        <w:t xml:space="preserve"> in: Palandt, Bürgerliches Gesetzbuch, 80. Aufl. 2021, Überblick von </w:t>
      </w:r>
      <w:r w:rsidRPr="00AD2ED5">
        <w:rPr>
          <w:rFonts w:ascii="Open Sans" w:hAnsi="Open Sans" w:cs="Open Sans"/>
          <w:bCs/>
        </w:rPr>
        <w:br/>
        <w:t xml:space="preserve">§ 107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1 ff.; § 108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1 ff., 4; § 110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>. 1 ff.</w:t>
      </w:r>
    </w:p>
    <w:p w14:paraId="501062B7" w14:textId="77777777" w:rsidR="005D1113" w:rsidRPr="00AD2ED5" w:rsidRDefault="005D1113" w:rsidP="005D1113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 xml:space="preserve">MüKoBGB/Spickhoff, 9. Aufl. 2021, BGB § 104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7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43, 44</w:t>
        </w:r>
      </w:hyperlink>
      <w:r>
        <w:rPr>
          <w:rFonts w:ascii="Open Sans" w:hAnsi="Open Sans" w:cs="Open Sans"/>
          <w:bCs/>
        </w:rPr>
        <w:t>.</w:t>
      </w:r>
    </w:p>
    <w:p w14:paraId="1FA7F800" w14:textId="77777777" w:rsidR="005D1113" w:rsidRPr="00AD2ED5" w:rsidRDefault="005D1113" w:rsidP="005D1113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 xml:space="preserve">MüKoBGB/Spickhoff, 9. Aufl. 2021, BGB § 105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8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38</w:t>
        </w:r>
      </w:hyperlink>
      <w:r w:rsidRPr="00AD2ED5">
        <w:rPr>
          <w:rFonts w:ascii="Open Sans" w:hAnsi="Open Sans" w:cs="Open Sans"/>
          <w:bCs/>
        </w:rPr>
        <w:t xml:space="preserve">,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9" w:anchor="FNID0EUSNBB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41</w:t>
        </w:r>
      </w:hyperlink>
      <w:r>
        <w:rPr>
          <w:rFonts w:ascii="Open Sans" w:hAnsi="Open Sans" w:cs="Open Sans"/>
          <w:bCs/>
        </w:rPr>
        <w:t>.</w:t>
      </w:r>
    </w:p>
    <w:p w14:paraId="3758ECB5" w14:textId="3F1E6B69" w:rsidR="005D1113" w:rsidRPr="00AD2ED5" w:rsidRDefault="005D1113" w:rsidP="005D1113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 xml:space="preserve">MüKoBGB/Spickhoff, 9. Aufl. 2021, BGB </w:t>
      </w:r>
      <w:r>
        <w:rPr>
          <w:rFonts w:ascii="Open Sans" w:hAnsi="Open Sans" w:cs="Open Sans"/>
        </w:rPr>
        <w:t>§ 105a</w:t>
      </w:r>
      <w:r w:rsidRPr="00AD2ED5">
        <w:rPr>
          <w:rFonts w:ascii="Open Sans" w:hAnsi="Open Sans" w:cs="Open Sans"/>
          <w:bCs/>
        </w:rPr>
        <w:t xml:space="preserve">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10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18-20</w:t>
        </w:r>
      </w:hyperlink>
      <w:r>
        <w:rPr>
          <w:rFonts w:ascii="Open Sans" w:hAnsi="Open Sans" w:cs="Open Sans"/>
          <w:bCs/>
        </w:rPr>
        <w:t>.</w:t>
      </w:r>
    </w:p>
    <w:p w14:paraId="697DAD46" w14:textId="77777777" w:rsidR="005D1113" w:rsidRDefault="005D1113" w:rsidP="005D1113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 xml:space="preserve">Jauernig/Mansel, 18. Aufl. 2021, BGB </w:t>
      </w:r>
      <w:r>
        <w:rPr>
          <w:rFonts w:ascii="Open Sans" w:hAnsi="Open Sans" w:cs="Open Sans"/>
        </w:rPr>
        <w:t>§ 105a</w:t>
      </w:r>
      <w:r w:rsidRPr="00AD2ED5">
        <w:rPr>
          <w:rFonts w:ascii="Open Sans" w:hAnsi="Open Sans" w:cs="Open Sans"/>
          <w:bCs/>
        </w:rPr>
        <w:t xml:space="preserve">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>.</w:t>
      </w:r>
      <w:r w:rsidRPr="00AD2ED5">
        <w:rPr>
          <w:rFonts w:ascii="Open Sans" w:hAnsi="Open Sans" w:cs="Open Sans"/>
          <w:bCs/>
          <w:color w:val="688AF8"/>
        </w:rPr>
        <w:t xml:space="preserve"> </w:t>
      </w:r>
      <w:hyperlink r:id="rId11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5</w:t>
        </w:r>
      </w:hyperlink>
      <w:r w:rsidRPr="00AD2ED5">
        <w:rPr>
          <w:rFonts w:ascii="Open Sans" w:hAnsi="Open Sans" w:cs="Open Sans"/>
          <w:bCs/>
        </w:rPr>
        <w:t xml:space="preserve">,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12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6</w:t>
        </w:r>
      </w:hyperlink>
      <w:r w:rsidRPr="00AD2ED5">
        <w:rPr>
          <w:rFonts w:ascii="Open Sans" w:hAnsi="Open Sans" w:cs="Open Sans"/>
          <w:bCs/>
        </w:rPr>
        <w:t>.</w:t>
      </w:r>
    </w:p>
    <w:p w14:paraId="156D4840" w14:textId="77777777" w:rsidR="005D1113" w:rsidRPr="00AD2ED5" w:rsidRDefault="005D1113" w:rsidP="005D1113">
      <w:pPr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>MüKoBGB/</w:t>
      </w:r>
      <w:proofErr w:type="spellStart"/>
      <w:r w:rsidRPr="00AD2ED5">
        <w:rPr>
          <w:rFonts w:ascii="Open Sans" w:hAnsi="Open Sans" w:cs="Open Sans"/>
          <w:bCs/>
        </w:rPr>
        <w:t>Einsele</w:t>
      </w:r>
      <w:proofErr w:type="spellEnd"/>
      <w:r w:rsidRPr="00AD2ED5">
        <w:rPr>
          <w:rFonts w:ascii="Open Sans" w:hAnsi="Open Sans" w:cs="Open Sans"/>
          <w:bCs/>
        </w:rPr>
        <w:t xml:space="preserve">, 9. Aufl. 2021, BGB § 131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13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2</w:t>
        </w:r>
      </w:hyperlink>
      <w:r>
        <w:rPr>
          <w:rFonts w:ascii="Open Sans" w:hAnsi="Open Sans" w:cs="Open Sans"/>
          <w:bCs/>
        </w:rPr>
        <w:t>.</w:t>
      </w:r>
    </w:p>
    <w:bookmarkEnd w:id="1"/>
    <w:p w14:paraId="1C796F5B" w14:textId="77777777" w:rsidR="005D1113" w:rsidRPr="00AD2ED5" w:rsidRDefault="005D1113" w:rsidP="005D1113">
      <w:pPr>
        <w:jc w:val="both"/>
        <w:rPr>
          <w:rFonts w:ascii="Open Sans" w:hAnsi="Open Sans" w:cs="Open Sans"/>
        </w:rPr>
      </w:pPr>
      <w:r w:rsidRPr="00AD2ED5">
        <w:rPr>
          <w:rFonts w:ascii="Open Sans" w:hAnsi="Open Sans" w:cs="Open Sans"/>
          <w:bCs/>
        </w:rPr>
        <w:t xml:space="preserve">BGHZ 18, 184 (186) = NJW 1955, </w:t>
      </w:r>
      <w:hyperlink r:id="rId14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1714</w:t>
        </w:r>
      </w:hyperlink>
      <w:r w:rsidRPr="00AD2ED5">
        <w:rPr>
          <w:rFonts w:ascii="Open Sans" w:hAnsi="Open Sans" w:cs="Open Sans"/>
          <w:bCs/>
        </w:rPr>
        <w:t>.</w:t>
      </w:r>
    </w:p>
    <w:p w14:paraId="6C8ABDDD" w14:textId="24A066C1" w:rsidR="00136845" w:rsidRPr="00136845" w:rsidRDefault="00BF386D" w:rsidP="00A27345">
      <w:pPr>
        <w:tabs>
          <w:tab w:val="left" w:pos="1095"/>
          <w:tab w:val="left" w:pos="696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 w:rsidR="00A27345">
        <w:rPr>
          <w:rFonts w:ascii="Open Sans" w:hAnsi="Open Sans" w:cs="Open Sans"/>
        </w:rPr>
        <w:tab/>
      </w:r>
    </w:p>
    <w:sectPr w:rsidR="00136845" w:rsidRPr="00136845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D256" w14:textId="77777777" w:rsidR="00C259C1" w:rsidRDefault="00C259C1" w:rsidP="0041069B">
      <w:pPr>
        <w:spacing w:after="0" w:line="240" w:lineRule="auto"/>
      </w:pPr>
      <w:r>
        <w:separator/>
      </w:r>
    </w:p>
  </w:endnote>
  <w:endnote w:type="continuationSeparator" w:id="0">
    <w:p w14:paraId="76F6B1F2" w14:textId="77777777" w:rsidR="00C259C1" w:rsidRDefault="00C259C1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2" w:name="_Hlk64808829"/>
        <w:bookmarkStart w:id="3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19BF4000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5D1113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2"/>
    <w:bookmarkEnd w:id="3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3E69" w14:textId="77777777" w:rsidR="00C259C1" w:rsidRDefault="00C259C1" w:rsidP="0041069B">
      <w:pPr>
        <w:spacing w:after="0" w:line="240" w:lineRule="auto"/>
      </w:pPr>
      <w:r>
        <w:separator/>
      </w:r>
    </w:p>
  </w:footnote>
  <w:footnote w:type="continuationSeparator" w:id="0">
    <w:p w14:paraId="5196667A" w14:textId="77777777" w:rsidR="00C259C1" w:rsidRDefault="00C259C1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368620D"/>
    <w:multiLevelType w:val="hybridMultilevel"/>
    <w:tmpl w:val="C54204A8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1" w15:restartNumberingAfterBreak="0">
    <w:nsid w:val="3C596895"/>
    <w:multiLevelType w:val="hybridMultilevel"/>
    <w:tmpl w:val="ED067F4E"/>
    <w:lvl w:ilvl="0" w:tplc="5630EDDE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6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7" w15:restartNumberingAfterBreak="0">
    <w:nsid w:val="61A826DA"/>
    <w:multiLevelType w:val="hybridMultilevel"/>
    <w:tmpl w:val="50706806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0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6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7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160846318">
    <w:abstractNumId w:val="22"/>
  </w:num>
  <w:num w:numId="2" w16cid:durableId="1495606879">
    <w:abstractNumId w:val="4"/>
  </w:num>
  <w:num w:numId="3" w16cid:durableId="263727585">
    <w:abstractNumId w:val="6"/>
  </w:num>
  <w:num w:numId="4" w16cid:durableId="72708254">
    <w:abstractNumId w:val="24"/>
  </w:num>
  <w:num w:numId="5" w16cid:durableId="1843005987">
    <w:abstractNumId w:val="27"/>
  </w:num>
  <w:num w:numId="6" w16cid:durableId="1913276250">
    <w:abstractNumId w:val="15"/>
  </w:num>
  <w:num w:numId="7" w16cid:durableId="1793862442">
    <w:abstractNumId w:val="12"/>
  </w:num>
  <w:num w:numId="8" w16cid:durableId="475799938">
    <w:abstractNumId w:val="19"/>
  </w:num>
  <w:num w:numId="9" w16cid:durableId="1407993629">
    <w:abstractNumId w:val="23"/>
  </w:num>
  <w:num w:numId="10" w16cid:durableId="904218448">
    <w:abstractNumId w:val="13"/>
  </w:num>
  <w:num w:numId="11" w16cid:durableId="479618753">
    <w:abstractNumId w:val="26"/>
  </w:num>
  <w:num w:numId="12" w16cid:durableId="658924346">
    <w:abstractNumId w:val="14"/>
  </w:num>
  <w:num w:numId="13" w16cid:durableId="650912255">
    <w:abstractNumId w:val="25"/>
  </w:num>
  <w:num w:numId="14" w16cid:durableId="1757819396">
    <w:abstractNumId w:val="20"/>
  </w:num>
  <w:num w:numId="15" w16cid:durableId="151143003">
    <w:abstractNumId w:val="10"/>
  </w:num>
  <w:num w:numId="16" w16cid:durableId="1866408642">
    <w:abstractNumId w:val="0"/>
  </w:num>
  <w:num w:numId="17" w16cid:durableId="1151754401">
    <w:abstractNumId w:val="16"/>
  </w:num>
  <w:num w:numId="18" w16cid:durableId="2101027742">
    <w:abstractNumId w:val="2"/>
  </w:num>
  <w:num w:numId="19" w16cid:durableId="943460246">
    <w:abstractNumId w:val="18"/>
  </w:num>
  <w:num w:numId="20" w16cid:durableId="1379083254">
    <w:abstractNumId w:val="3"/>
  </w:num>
  <w:num w:numId="21" w16cid:durableId="1876695573">
    <w:abstractNumId w:val="8"/>
  </w:num>
  <w:num w:numId="22" w16cid:durableId="1451781751">
    <w:abstractNumId w:val="1"/>
  </w:num>
  <w:num w:numId="23" w16cid:durableId="990787445">
    <w:abstractNumId w:val="7"/>
  </w:num>
  <w:num w:numId="24" w16cid:durableId="1917394712">
    <w:abstractNumId w:val="21"/>
  </w:num>
  <w:num w:numId="25" w16cid:durableId="1132752320">
    <w:abstractNumId w:val="5"/>
  </w:num>
  <w:num w:numId="26" w16cid:durableId="507645379">
    <w:abstractNumId w:val="11"/>
  </w:num>
  <w:num w:numId="27" w16cid:durableId="2141728317">
    <w:abstractNumId w:val="17"/>
  </w:num>
  <w:num w:numId="28" w16cid:durableId="857620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050D8"/>
    <w:rsid w:val="000130B1"/>
    <w:rsid w:val="0003604C"/>
    <w:rsid w:val="00040184"/>
    <w:rsid w:val="000E4978"/>
    <w:rsid w:val="0010748A"/>
    <w:rsid w:val="00123860"/>
    <w:rsid w:val="00136845"/>
    <w:rsid w:val="00140545"/>
    <w:rsid w:val="0017497A"/>
    <w:rsid w:val="00185932"/>
    <w:rsid w:val="00192777"/>
    <w:rsid w:val="002230EF"/>
    <w:rsid w:val="00231982"/>
    <w:rsid w:val="00241692"/>
    <w:rsid w:val="002577DC"/>
    <w:rsid w:val="00257A0B"/>
    <w:rsid w:val="002877FF"/>
    <w:rsid w:val="00295E1E"/>
    <w:rsid w:val="002F4D06"/>
    <w:rsid w:val="003D5108"/>
    <w:rsid w:val="0041069B"/>
    <w:rsid w:val="00415653"/>
    <w:rsid w:val="00417099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1B6D"/>
    <w:rsid w:val="005A556D"/>
    <w:rsid w:val="005D1113"/>
    <w:rsid w:val="005E2DC1"/>
    <w:rsid w:val="005F668B"/>
    <w:rsid w:val="006178E1"/>
    <w:rsid w:val="006242E8"/>
    <w:rsid w:val="00685E8F"/>
    <w:rsid w:val="00693D80"/>
    <w:rsid w:val="006A326A"/>
    <w:rsid w:val="006B7D18"/>
    <w:rsid w:val="006D77EF"/>
    <w:rsid w:val="006E1970"/>
    <w:rsid w:val="00715314"/>
    <w:rsid w:val="00722F4A"/>
    <w:rsid w:val="00744F0C"/>
    <w:rsid w:val="00756EF3"/>
    <w:rsid w:val="00763B80"/>
    <w:rsid w:val="0077736A"/>
    <w:rsid w:val="007C4C5F"/>
    <w:rsid w:val="007D1C6B"/>
    <w:rsid w:val="007D788D"/>
    <w:rsid w:val="007F54BD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15041"/>
    <w:rsid w:val="00971082"/>
    <w:rsid w:val="009A223F"/>
    <w:rsid w:val="009A7135"/>
    <w:rsid w:val="009B5901"/>
    <w:rsid w:val="00A07F0F"/>
    <w:rsid w:val="00A27345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1215C"/>
    <w:rsid w:val="00C2164B"/>
    <w:rsid w:val="00C259C1"/>
    <w:rsid w:val="00C35596"/>
    <w:rsid w:val="00C52EAE"/>
    <w:rsid w:val="00C812BB"/>
    <w:rsid w:val="00CF47F5"/>
    <w:rsid w:val="00D01277"/>
    <w:rsid w:val="00D15FA7"/>
    <w:rsid w:val="00D51388"/>
    <w:rsid w:val="00D7007F"/>
    <w:rsid w:val="00D7592C"/>
    <w:rsid w:val="00D76651"/>
    <w:rsid w:val="00DC4BD7"/>
    <w:rsid w:val="00DD34DC"/>
    <w:rsid w:val="00DE7393"/>
    <w:rsid w:val="00E00DCA"/>
    <w:rsid w:val="00E235DB"/>
    <w:rsid w:val="00E31E5E"/>
    <w:rsid w:val="00E471C9"/>
    <w:rsid w:val="00E715C3"/>
    <w:rsid w:val="00E950D0"/>
    <w:rsid w:val="00EA3BCC"/>
    <w:rsid w:val="00EA4BF1"/>
    <w:rsid w:val="00EB16D8"/>
    <w:rsid w:val="00EE5B5C"/>
    <w:rsid w:val="00EF11AF"/>
    <w:rsid w:val="00F26C6E"/>
    <w:rsid w:val="00F41C05"/>
    <w:rsid w:val="00F51C25"/>
    <w:rsid w:val="00F90F16"/>
    <w:rsid w:val="00FD177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ck-online.beck.de/?vpath=bibdata%2Fkomm%2FMuekoBGB_9_Band1%2FBGB%2Fcont%2FMuekoBGB%2EBGB%2Ep105%2EglIII%2Ehtm" TargetMode="External"/><Relationship Id="rId13" Type="http://schemas.openxmlformats.org/officeDocument/2006/relationships/hyperlink" Target="https://beck-online.beck.de/?vpath=bibdata%2Fkomm%2FMuekoBGB_9_Band1%2FBGB%2Fcont%2FMuekoBGB%2EBGB%2Ep131%2EglI%2E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ck-online.beck.de/?vpath=bibdata/komm/MuekoBGB_9_Band1/BGB/cont/MuekoBGB.BGB.p104.glV.gl1.gla.htm" TargetMode="External"/><Relationship Id="rId12" Type="http://schemas.openxmlformats.org/officeDocument/2006/relationships/hyperlink" Target="https://beck-online.beck.de/?vpath=bibdata/komm/JauKoBGB_18/BGB/cont/JauKoBGB.BGB.p105a.gl3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ck-online.beck.de/?vpath=bibdata%2Fkomm%2FJauKoBGB_18%2FBGB%2Fcont%2FJauKoBGB%2EBGB%2Ep105a%2Egl2%2E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eck-online.beck.de/?vpath=bibdata/komm/MuekoBGB_9_Band1/BGB/cont/MuekoBGB.BGB.p105a.glII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ck-online.beck.de/?vpath=bibdata%2Fkomm%2FMuekoBGB_9_Band1%2FBGB%2Fcont%2FMuekoBGB%2EBGB%2Ep105%2EglIII%2Ehtm" TargetMode="External"/><Relationship Id="rId14" Type="http://schemas.openxmlformats.org/officeDocument/2006/relationships/hyperlink" Target="file:///C:\Users\jacks\Downloads\BGHZ%2018,%20184%20(186)%20=%20NJW%201955,%201714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61</cp:revision>
  <cp:lastPrinted>2022-02-19T09:00:00Z</cp:lastPrinted>
  <dcterms:created xsi:type="dcterms:W3CDTF">2021-02-19T12:26:00Z</dcterms:created>
  <dcterms:modified xsi:type="dcterms:W3CDTF">2023-02-20T13:39:00Z</dcterms:modified>
</cp:coreProperties>
</file>