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F43D" w14:textId="3438A11E" w:rsidR="005772EE" w:rsidRPr="00517716" w:rsidRDefault="005772EE" w:rsidP="005772EE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_Hlk98334587"/>
      <w:r w:rsidRPr="005772EE">
        <w:rPr>
          <w:rFonts w:ascii="Open Sans" w:hAnsi="Open Sans" w:cs="Open Sans"/>
          <w:b/>
          <w:bCs/>
          <w:sz w:val="36"/>
          <w:szCs w:val="36"/>
        </w:rPr>
        <w:t>§§ 104 ff. BGB</w:t>
      </w:r>
      <w:r>
        <w:rPr>
          <w:rFonts w:ascii="Open Sans" w:hAnsi="Open Sans" w:cs="Open Sans"/>
          <w:b/>
          <w:bCs/>
          <w:sz w:val="36"/>
          <w:szCs w:val="36"/>
        </w:rPr>
        <w:t xml:space="preserve"> – </w:t>
      </w:r>
      <w:r w:rsidR="00505D46">
        <w:rPr>
          <w:rFonts w:ascii="Open Sans" w:hAnsi="Open Sans" w:cs="Open Sans"/>
          <w:b/>
          <w:bCs/>
          <w:sz w:val="36"/>
          <w:szCs w:val="36"/>
        </w:rPr>
        <w:t>Geschäftsunfähigkeit</w:t>
      </w:r>
    </w:p>
    <w:bookmarkEnd w:id="0"/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3CACEFB0" w:rsidR="00715314" w:rsidRDefault="00715314" w:rsidP="00715314">
      <w:pPr>
        <w:pStyle w:val="SchemaDefinitionenHeader"/>
      </w:pPr>
    </w:p>
    <w:p w14:paraId="6B82A6D1" w14:textId="77777777" w:rsidR="00E0570F" w:rsidRPr="00D23BBC" w:rsidRDefault="00E0570F" w:rsidP="00620A24">
      <w:pPr>
        <w:pStyle w:val="SchemaDefinitionenHeader"/>
        <w:numPr>
          <w:ilvl w:val="0"/>
          <w:numId w:val="25"/>
        </w:numPr>
        <w:rPr>
          <w:rStyle w:val="Hyperlink"/>
          <w:b/>
          <w:color w:val="auto"/>
          <w:sz w:val="18"/>
          <w:szCs w:val="18"/>
          <w:u w:val="none"/>
        </w:rPr>
      </w:pPr>
      <w:r w:rsidRPr="00D23BBC">
        <w:rPr>
          <w:rStyle w:val="Hyperlink"/>
          <w:b/>
          <w:color w:val="auto"/>
          <w:sz w:val="18"/>
          <w:szCs w:val="18"/>
          <w:u w:val="none"/>
        </w:rPr>
        <w:t>Anspruch entstanden</w:t>
      </w:r>
    </w:p>
    <w:p w14:paraId="60285778" w14:textId="4C52E98B" w:rsidR="008B0D95" w:rsidRPr="00D23BBC" w:rsidRDefault="008B0D95" w:rsidP="00E0570F">
      <w:pPr>
        <w:pStyle w:val="SchemaDefinitionenHeader"/>
        <w:numPr>
          <w:ilvl w:val="0"/>
          <w:numId w:val="24"/>
        </w:numPr>
        <w:rPr>
          <w:rStyle w:val="Hyperlink"/>
          <w:b/>
          <w:color w:val="auto"/>
          <w:sz w:val="18"/>
          <w:szCs w:val="18"/>
          <w:u w:val="none"/>
        </w:rPr>
      </w:pPr>
      <w:r w:rsidRPr="00D23BBC">
        <w:rPr>
          <w:rStyle w:val="Hyperlink"/>
          <w:b/>
          <w:color w:val="auto"/>
          <w:sz w:val="18"/>
          <w:szCs w:val="18"/>
          <w:u w:val="none"/>
        </w:rPr>
        <w:t>Vertragsschluss</w:t>
      </w:r>
    </w:p>
    <w:p w14:paraId="3CDC1ADF" w14:textId="68A13ACC" w:rsidR="008A0A43" w:rsidRPr="00620A24" w:rsidRDefault="008B0D95" w:rsidP="006758D6">
      <w:pPr>
        <w:pStyle w:val="SchemaDefinitionenHeader"/>
        <w:numPr>
          <w:ilvl w:val="1"/>
          <w:numId w:val="24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620A24">
        <w:rPr>
          <w:rStyle w:val="Hyperlink"/>
          <w:i/>
          <w:iCs/>
          <w:color w:val="auto"/>
          <w:sz w:val="18"/>
          <w:szCs w:val="18"/>
          <w:u w:val="none"/>
        </w:rPr>
        <w:t>Willenserklärung</w:t>
      </w:r>
    </w:p>
    <w:p w14:paraId="24CBCAD3" w14:textId="6F1F6A9A" w:rsidR="006758D6" w:rsidRPr="00620A24" w:rsidRDefault="006758D6" w:rsidP="00620A24">
      <w:pPr>
        <w:pStyle w:val="SchemaDefinitionenHeader"/>
        <w:ind w:left="1800"/>
        <w:rPr>
          <w:color w:val="auto"/>
          <w:sz w:val="18"/>
          <w:szCs w:val="18"/>
        </w:rPr>
      </w:pPr>
      <w:r w:rsidRPr="00620A24">
        <w:rPr>
          <w:color w:val="auto"/>
          <w:sz w:val="18"/>
          <w:szCs w:val="18"/>
        </w:rPr>
        <w:t xml:space="preserve">Es darf nicht schon am Handlungswillen der </w:t>
      </w:r>
      <w:r w:rsidR="00075567">
        <w:rPr>
          <w:color w:val="auto"/>
          <w:sz w:val="18"/>
          <w:szCs w:val="18"/>
        </w:rPr>
        <w:t>g</w:t>
      </w:r>
      <w:r w:rsidRPr="00620A24">
        <w:rPr>
          <w:color w:val="auto"/>
          <w:sz w:val="18"/>
          <w:szCs w:val="18"/>
        </w:rPr>
        <w:t>eschäftsunfähigen Person bei Abgabe der Willenserklärung mangeln.</w:t>
      </w:r>
    </w:p>
    <w:p w14:paraId="7EFB85F5" w14:textId="0AFBAC76" w:rsidR="00331CB9" w:rsidRPr="00620A24" w:rsidRDefault="00331CB9">
      <w:pPr>
        <w:pStyle w:val="SchemaDefinitionenHeader"/>
        <w:numPr>
          <w:ilvl w:val="1"/>
          <w:numId w:val="24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620A24">
        <w:rPr>
          <w:rStyle w:val="Hyperlink"/>
          <w:i/>
          <w:iCs/>
          <w:color w:val="auto"/>
          <w:sz w:val="18"/>
          <w:szCs w:val="18"/>
          <w:u w:val="none"/>
        </w:rPr>
        <w:t>Wirksamwerden einer Willenserklärung gegenüber dem Geschäftsunfähigen, § 131 I BGB</w:t>
      </w:r>
    </w:p>
    <w:p w14:paraId="4CED1B3A" w14:textId="411BAEAC" w:rsidR="001D7F24" w:rsidRPr="00620A24" w:rsidRDefault="001D7F24" w:rsidP="00620A24">
      <w:pPr>
        <w:pStyle w:val="SchemaDefinitionenHeader"/>
        <w:ind w:left="1800"/>
        <w:rPr>
          <w:color w:val="auto"/>
          <w:sz w:val="18"/>
          <w:szCs w:val="18"/>
        </w:rPr>
      </w:pPr>
      <w:r w:rsidRPr="00620A24">
        <w:rPr>
          <w:color w:val="auto"/>
          <w:sz w:val="18"/>
          <w:szCs w:val="18"/>
        </w:rPr>
        <w:t xml:space="preserve">Das Angebot oder die Annahme geht dem Geschäftsunfähigen gegenüber erst </w:t>
      </w:r>
      <w:r w:rsidR="002E330A" w:rsidRPr="00620A24">
        <w:rPr>
          <w:color w:val="auto"/>
          <w:sz w:val="18"/>
          <w:szCs w:val="18"/>
        </w:rPr>
        <w:t>mit Zugang bei dessen gesetzlichen Vertreter zu.</w:t>
      </w:r>
    </w:p>
    <w:p w14:paraId="76DEB208" w14:textId="7B2AD8F0" w:rsidR="008B0D95" w:rsidRPr="00620A24" w:rsidRDefault="008B0D95" w:rsidP="008B0D95">
      <w:pPr>
        <w:pStyle w:val="SchemaDefinitionenHeader"/>
        <w:numPr>
          <w:ilvl w:val="1"/>
          <w:numId w:val="24"/>
        </w:numPr>
        <w:rPr>
          <w:rStyle w:val="Hyperlink"/>
          <w:i/>
          <w:iCs/>
          <w:color w:val="auto"/>
          <w:sz w:val="18"/>
          <w:szCs w:val="18"/>
          <w:u w:val="none"/>
        </w:rPr>
      </w:pPr>
      <w:r w:rsidRPr="00620A24">
        <w:rPr>
          <w:rStyle w:val="Hyperlink"/>
          <w:i/>
          <w:iCs/>
          <w:color w:val="auto"/>
          <w:sz w:val="18"/>
          <w:szCs w:val="18"/>
          <w:u w:val="none"/>
        </w:rPr>
        <w:t>Nichtigkeit der Willenserklärung</w:t>
      </w:r>
      <w:r w:rsidR="001D7F24" w:rsidRPr="00620A24">
        <w:rPr>
          <w:rStyle w:val="Hyperlink"/>
          <w:i/>
          <w:iCs/>
          <w:color w:val="auto"/>
          <w:sz w:val="18"/>
          <w:szCs w:val="18"/>
          <w:u w:val="none"/>
        </w:rPr>
        <w:t xml:space="preserve"> des Geschäftsunfähigen</w:t>
      </w:r>
      <w:r w:rsidRPr="00620A24">
        <w:rPr>
          <w:rStyle w:val="Hyperlink"/>
          <w:i/>
          <w:iCs/>
          <w:color w:val="auto"/>
          <w:sz w:val="18"/>
          <w:szCs w:val="18"/>
          <w:u w:val="none"/>
        </w:rPr>
        <w:t>, § 1</w:t>
      </w:r>
      <w:r w:rsidR="00971B0D" w:rsidRPr="00620A24">
        <w:rPr>
          <w:rStyle w:val="Hyperlink"/>
          <w:i/>
          <w:iCs/>
          <w:color w:val="auto"/>
          <w:sz w:val="18"/>
          <w:szCs w:val="18"/>
          <w:u w:val="none"/>
        </w:rPr>
        <w:t>05 I, II</w:t>
      </w:r>
      <w:r w:rsidR="00FA64E7" w:rsidRPr="00620A24">
        <w:rPr>
          <w:rStyle w:val="Hyperlink"/>
          <w:i/>
          <w:iCs/>
          <w:color w:val="auto"/>
          <w:sz w:val="18"/>
          <w:szCs w:val="18"/>
          <w:u w:val="none"/>
        </w:rPr>
        <w:t xml:space="preserve"> BGB</w:t>
      </w:r>
    </w:p>
    <w:p w14:paraId="14853B4D" w14:textId="7E799D29" w:rsidR="00FA64E7" w:rsidRPr="00620A24" w:rsidRDefault="009224ED" w:rsidP="00620A24">
      <w:pPr>
        <w:pStyle w:val="SchemaDefinitionenHeader"/>
        <w:numPr>
          <w:ilvl w:val="0"/>
          <w:numId w:val="32"/>
        </w:numPr>
        <w:rPr>
          <w:color w:val="auto"/>
          <w:sz w:val="18"/>
          <w:szCs w:val="18"/>
        </w:rPr>
      </w:pPr>
      <w:r w:rsidRPr="00620A24">
        <w:rPr>
          <w:i/>
          <w:iCs/>
          <w:color w:val="auto"/>
          <w:sz w:val="18"/>
          <w:szCs w:val="18"/>
        </w:rPr>
        <w:t>§ 105 I</w:t>
      </w:r>
      <w:r w:rsidR="00FA64E7" w:rsidRPr="00620A24">
        <w:rPr>
          <w:i/>
          <w:iCs/>
          <w:color w:val="auto"/>
          <w:sz w:val="18"/>
          <w:szCs w:val="18"/>
        </w:rPr>
        <w:t xml:space="preserve"> BGB</w:t>
      </w:r>
      <w:r w:rsidRPr="00620A24">
        <w:rPr>
          <w:i/>
          <w:iCs/>
          <w:color w:val="auto"/>
          <w:sz w:val="18"/>
          <w:szCs w:val="18"/>
        </w:rPr>
        <w:t>:</w:t>
      </w:r>
      <w:r w:rsidRPr="00620A24">
        <w:rPr>
          <w:color w:val="auto"/>
          <w:sz w:val="18"/>
          <w:szCs w:val="18"/>
        </w:rPr>
        <w:t xml:space="preserve"> Geschäftsunfähiger gem. § 104</w:t>
      </w:r>
      <w:r w:rsidR="00FA64E7" w:rsidRPr="00620A24">
        <w:rPr>
          <w:color w:val="auto"/>
          <w:sz w:val="18"/>
          <w:szCs w:val="18"/>
        </w:rPr>
        <w:t xml:space="preserve"> BGB</w:t>
      </w:r>
    </w:p>
    <w:p w14:paraId="2CDF4346" w14:textId="3295334F" w:rsidR="00FA64E7" w:rsidRPr="00620A24" w:rsidRDefault="00FA64E7" w:rsidP="00620A24">
      <w:pPr>
        <w:pStyle w:val="SchemaDefinitionenHeader"/>
        <w:numPr>
          <w:ilvl w:val="0"/>
          <w:numId w:val="32"/>
        </w:numPr>
        <w:rPr>
          <w:color w:val="auto"/>
          <w:sz w:val="18"/>
          <w:szCs w:val="18"/>
        </w:rPr>
      </w:pPr>
      <w:r w:rsidRPr="00620A24">
        <w:rPr>
          <w:i/>
          <w:iCs/>
          <w:color w:val="auto"/>
          <w:sz w:val="18"/>
          <w:szCs w:val="18"/>
        </w:rPr>
        <w:t>§ 105 II BGB:</w:t>
      </w:r>
      <w:r w:rsidRPr="00620A24">
        <w:rPr>
          <w:color w:val="auto"/>
          <w:sz w:val="18"/>
          <w:szCs w:val="18"/>
        </w:rPr>
        <w:t xml:space="preserve"> Bewusstlosigkeit oder vorübergehende Störung der Geistestätigkeit</w:t>
      </w:r>
    </w:p>
    <w:p w14:paraId="70ED9DE5" w14:textId="385D22B2" w:rsidR="00FA64E7" w:rsidRDefault="00FA64E7" w:rsidP="00075567">
      <w:pPr>
        <w:pStyle w:val="SchemaDefinitionenHeader"/>
        <w:numPr>
          <w:ilvl w:val="0"/>
          <w:numId w:val="32"/>
        </w:numPr>
        <w:rPr>
          <w:color w:val="auto"/>
          <w:sz w:val="18"/>
          <w:szCs w:val="18"/>
        </w:rPr>
      </w:pPr>
      <w:r w:rsidRPr="00620A24">
        <w:rPr>
          <w:i/>
          <w:iCs/>
          <w:color w:val="auto"/>
          <w:sz w:val="18"/>
          <w:szCs w:val="18"/>
        </w:rPr>
        <w:t>Kein Geschäft des täglichen Lebens</w:t>
      </w:r>
      <w:r w:rsidRPr="00620A24">
        <w:rPr>
          <w:color w:val="auto"/>
          <w:sz w:val="18"/>
          <w:szCs w:val="18"/>
        </w:rPr>
        <w:t>, § 105a BGB</w:t>
      </w:r>
    </w:p>
    <w:p w14:paraId="1BF320B9" w14:textId="69AA5131" w:rsidR="008B0D95" w:rsidRPr="00D23BBC" w:rsidRDefault="008B0D95" w:rsidP="00075567">
      <w:pPr>
        <w:pStyle w:val="SchemaDefinitionenHeader"/>
        <w:numPr>
          <w:ilvl w:val="0"/>
          <w:numId w:val="24"/>
        </w:numPr>
        <w:rPr>
          <w:rStyle w:val="Hyperlink"/>
          <w:b/>
          <w:bCs/>
          <w:color w:val="auto"/>
          <w:sz w:val="18"/>
          <w:szCs w:val="18"/>
          <w:u w:val="none"/>
        </w:rPr>
      </w:pPr>
      <w:r w:rsidRPr="00D23BBC">
        <w:rPr>
          <w:rStyle w:val="Hyperlink"/>
          <w:b/>
          <w:bCs/>
          <w:color w:val="auto"/>
          <w:sz w:val="18"/>
          <w:szCs w:val="18"/>
          <w:u w:val="none"/>
        </w:rPr>
        <w:t>Wirksamkeit des Vertrages</w:t>
      </w:r>
    </w:p>
    <w:p w14:paraId="32315D9F" w14:textId="77777777" w:rsidR="00E0570F" w:rsidRPr="00D23BBC" w:rsidRDefault="00E0570F" w:rsidP="00620A24">
      <w:pPr>
        <w:pStyle w:val="SchemaDefinitionenHeader"/>
        <w:numPr>
          <w:ilvl w:val="0"/>
          <w:numId w:val="25"/>
        </w:numPr>
        <w:rPr>
          <w:rStyle w:val="Hyperlink"/>
          <w:b/>
          <w:bCs/>
          <w:color w:val="auto"/>
          <w:sz w:val="18"/>
          <w:szCs w:val="18"/>
          <w:u w:val="none"/>
        </w:rPr>
      </w:pPr>
      <w:r w:rsidRPr="00D23BBC">
        <w:rPr>
          <w:rStyle w:val="Hyperlink"/>
          <w:b/>
          <w:bCs/>
          <w:color w:val="auto"/>
          <w:sz w:val="18"/>
          <w:szCs w:val="18"/>
          <w:u w:val="none"/>
        </w:rPr>
        <w:t>Anspruch nicht erloschen</w:t>
      </w:r>
    </w:p>
    <w:p w14:paraId="3D3CB991" w14:textId="78D1BA3C" w:rsidR="00715314" w:rsidRPr="00D23BBC" w:rsidRDefault="00E0570F" w:rsidP="00620A24">
      <w:pPr>
        <w:pStyle w:val="SchemaDefinitionenHeader"/>
        <w:numPr>
          <w:ilvl w:val="0"/>
          <w:numId w:val="25"/>
        </w:numPr>
        <w:rPr>
          <w:rStyle w:val="Hyperlink"/>
          <w:b/>
          <w:bCs/>
          <w:color w:val="auto"/>
          <w:sz w:val="18"/>
          <w:szCs w:val="18"/>
          <w:u w:val="none"/>
        </w:rPr>
      </w:pPr>
      <w:r w:rsidRPr="00D23BBC">
        <w:rPr>
          <w:rStyle w:val="Hyperlink"/>
          <w:b/>
          <w:bCs/>
          <w:color w:val="auto"/>
          <w:sz w:val="18"/>
          <w:szCs w:val="18"/>
          <w:u w:val="none"/>
        </w:rPr>
        <w:t>Anspruch durchsetzbar</w:t>
      </w:r>
    </w:p>
    <w:p w14:paraId="40EF3CE0" w14:textId="77777777" w:rsidR="00715314" w:rsidRPr="00620A24" w:rsidRDefault="00715314">
      <w:pPr>
        <w:rPr>
          <w:rFonts w:ascii="Open Sans" w:hAnsi="Open Sans" w:cs="Open Sans"/>
          <w:b/>
          <w:bCs/>
          <w:sz w:val="18"/>
          <w:szCs w:val="18"/>
        </w:rPr>
      </w:pPr>
      <w:r w:rsidRPr="00620A24">
        <w:rPr>
          <w:rFonts w:ascii="Open Sans" w:hAnsi="Open Sans" w:cs="Open Sans"/>
          <w:b/>
          <w:bCs/>
          <w:sz w:val="18"/>
          <w:szCs w:val="18"/>
        </w:rPr>
        <w:br w:type="page"/>
      </w:r>
    </w:p>
    <w:p w14:paraId="64C8C199" w14:textId="565D0062" w:rsidR="005772EE" w:rsidRPr="00517716" w:rsidRDefault="005772EE" w:rsidP="005772EE">
      <w:pPr>
        <w:jc w:val="both"/>
        <w:rPr>
          <w:rFonts w:ascii="Open Sans" w:hAnsi="Open Sans" w:cs="Open Sans"/>
          <w:b/>
          <w:bCs/>
          <w:sz w:val="36"/>
          <w:szCs w:val="36"/>
        </w:rPr>
      </w:pPr>
      <w:r w:rsidRPr="005772EE">
        <w:rPr>
          <w:rFonts w:ascii="Open Sans" w:hAnsi="Open Sans" w:cs="Open Sans"/>
          <w:b/>
          <w:bCs/>
          <w:sz w:val="36"/>
          <w:szCs w:val="36"/>
        </w:rPr>
        <w:lastRenderedPageBreak/>
        <w:t>§§ 104 ff. BGB</w:t>
      </w:r>
      <w:r>
        <w:rPr>
          <w:rFonts w:ascii="Open Sans" w:hAnsi="Open Sans" w:cs="Open Sans"/>
          <w:b/>
          <w:bCs/>
          <w:sz w:val="36"/>
          <w:szCs w:val="36"/>
        </w:rPr>
        <w:t xml:space="preserve"> – </w:t>
      </w:r>
      <w:r w:rsidR="00505D46">
        <w:rPr>
          <w:rFonts w:ascii="Open Sans" w:hAnsi="Open Sans" w:cs="Open Sans"/>
          <w:b/>
          <w:bCs/>
          <w:sz w:val="36"/>
          <w:szCs w:val="36"/>
        </w:rPr>
        <w:t>Geschäftsunfähigkeit</w:t>
      </w:r>
    </w:p>
    <w:p w14:paraId="0208BC8F" w14:textId="0FB48206" w:rsidR="00D01277" w:rsidRDefault="00D01277" w:rsidP="00D01277">
      <w:pPr>
        <w:pStyle w:val="SchemaDefinitionenHeader"/>
      </w:pPr>
      <w:r w:rsidRPr="00A90E7F">
        <w:t>Schema</w:t>
      </w:r>
    </w:p>
    <w:p w14:paraId="2FEC18CC" w14:textId="2CB20F1B" w:rsidR="00935780" w:rsidRDefault="00935780" w:rsidP="00D01277">
      <w:pPr>
        <w:pStyle w:val="Tatbestandberschriften"/>
        <w:tabs>
          <w:tab w:val="left" w:pos="3965"/>
        </w:tabs>
        <w:spacing w:after="0"/>
        <w:rPr>
          <w:b w:val="0"/>
          <w:bCs/>
        </w:rPr>
      </w:pPr>
    </w:p>
    <w:p w14:paraId="4FF8435E" w14:textId="7070E686" w:rsidR="00935780" w:rsidRDefault="00803CE2" w:rsidP="00075567">
      <w:pPr>
        <w:pStyle w:val="Tatbestandberschriften"/>
        <w:tabs>
          <w:tab w:val="left" w:pos="3965"/>
        </w:tabs>
        <w:spacing w:after="0"/>
        <w:rPr>
          <w:b w:val="0"/>
          <w:bCs/>
        </w:rPr>
      </w:pPr>
      <w:r w:rsidRPr="00075567">
        <w:t>Merke:</w:t>
      </w:r>
      <w:r>
        <w:rPr>
          <w:b w:val="0"/>
          <w:bCs/>
        </w:rPr>
        <w:t xml:space="preserve"> </w:t>
      </w:r>
      <w:r w:rsidR="00935780" w:rsidRPr="000D19B5">
        <w:rPr>
          <w:b w:val="0"/>
          <w:bCs/>
        </w:rPr>
        <w:t>D</w:t>
      </w:r>
      <w:r w:rsidR="00BB4174">
        <w:rPr>
          <w:b w:val="0"/>
          <w:bCs/>
        </w:rPr>
        <w:t>as System der</w:t>
      </w:r>
      <w:r w:rsidR="00935780" w:rsidRPr="000D19B5">
        <w:rPr>
          <w:b w:val="0"/>
          <w:bCs/>
        </w:rPr>
        <w:t xml:space="preserve"> </w:t>
      </w:r>
      <w:r w:rsidR="00935780" w:rsidRPr="00456485">
        <w:rPr>
          <w:b w:val="0"/>
          <w:bCs/>
          <w:i/>
          <w:iCs/>
        </w:rPr>
        <w:t>Geschäftsfähigkeit</w:t>
      </w:r>
      <w:r w:rsidR="00935780" w:rsidRPr="000D19B5">
        <w:rPr>
          <w:b w:val="0"/>
          <w:bCs/>
        </w:rPr>
        <w:t xml:space="preserve"> </w:t>
      </w:r>
      <w:r w:rsidR="00BB4174">
        <w:rPr>
          <w:b w:val="0"/>
          <w:bCs/>
        </w:rPr>
        <w:t>ist abgestuft, man unterscheidet</w:t>
      </w:r>
      <w:r w:rsidR="00935780" w:rsidRPr="000D19B5">
        <w:rPr>
          <w:b w:val="0"/>
          <w:bCs/>
        </w:rPr>
        <w:t>:</w:t>
      </w:r>
    </w:p>
    <w:p w14:paraId="0A1BEBAB" w14:textId="77777777" w:rsidR="00075567" w:rsidRPr="000D19B5" w:rsidRDefault="00075567" w:rsidP="00075567">
      <w:pPr>
        <w:pStyle w:val="Tatbestandberschriften"/>
        <w:tabs>
          <w:tab w:val="left" w:pos="3965"/>
        </w:tabs>
        <w:spacing w:after="0"/>
        <w:rPr>
          <w:b w:val="0"/>
          <w:bCs/>
        </w:rPr>
      </w:pPr>
    </w:p>
    <w:p w14:paraId="3CBD23B9" w14:textId="77777777" w:rsidR="00C53086" w:rsidRDefault="00935780" w:rsidP="00935780">
      <w:pPr>
        <w:pStyle w:val="SchemaDefinitionenHeader"/>
        <w:numPr>
          <w:ilvl w:val="0"/>
          <w:numId w:val="26"/>
        </w:numPr>
        <w:rPr>
          <w:color w:val="auto"/>
        </w:rPr>
      </w:pPr>
      <w:r w:rsidRPr="00075567">
        <w:rPr>
          <w:i/>
          <w:iCs/>
          <w:color w:val="auto"/>
        </w:rPr>
        <w:t>Geschäftsunfähigkeit</w:t>
      </w:r>
      <w:r w:rsidR="00E34156">
        <w:rPr>
          <w:color w:val="auto"/>
        </w:rPr>
        <w:t xml:space="preserve">: </w:t>
      </w:r>
    </w:p>
    <w:p w14:paraId="023D43D8" w14:textId="670BA010" w:rsidR="00935780" w:rsidRDefault="004653B3" w:rsidP="00620A24">
      <w:pPr>
        <w:pStyle w:val="SchemaDefinitionenHeader"/>
        <w:ind w:left="1068"/>
        <w:rPr>
          <w:color w:val="auto"/>
        </w:rPr>
      </w:pPr>
      <w:r w:rsidRPr="00C10179">
        <w:rPr>
          <w:color w:val="auto"/>
        </w:rPr>
        <w:t>Willenserklärung</w:t>
      </w:r>
      <w:r>
        <w:rPr>
          <w:color w:val="auto"/>
        </w:rPr>
        <w:t>en von</w:t>
      </w:r>
      <w:r w:rsidRPr="00C10179">
        <w:rPr>
          <w:color w:val="auto"/>
        </w:rPr>
        <w:t xml:space="preserve"> </w:t>
      </w:r>
      <w:r w:rsidR="00BB4174">
        <w:rPr>
          <w:color w:val="auto"/>
        </w:rPr>
        <w:t xml:space="preserve">Personen </w:t>
      </w:r>
      <w:r>
        <w:rPr>
          <w:color w:val="auto"/>
        </w:rPr>
        <w:t xml:space="preserve">unter sieben Jahren und </w:t>
      </w:r>
      <w:r w:rsidR="00DC59F8">
        <w:rPr>
          <w:color w:val="auto"/>
        </w:rPr>
        <w:t xml:space="preserve">Personen in einem </w:t>
      </w:r>
      <w:r w:rsidR="009552A4">
        <w:rPr>
          <w:color w:val="auto"/>
        </w:rPr>
        <w:t>dauerhaften</w:t>
      </w:r>
      <w:r w:rsidR="00DC59F8">
        <w:rPr>
          <w:color w:val="auto"/>
        </w:rPr>
        <w:t xml:space="preserve"> Zustand krankhafter Störung der Geistestätigkeit, </w:t>
      </w:r>
      <w:r w:rsidR="009552A4">
        <w:rPr>
          <w:color w:val="auto"/>
        </w:rPr>
        <w:t>sind</w:t>
      </w:r>
      <w:r w:rsidR="00BB4174">
        <w:rPr>
          <w:color w:val="auto"/>
        </w:rPr>
        <w:t xml:space="preserve"> </w:t>
      </w:r>
      <w:r w:rsidR="00935780" w:rsidRPr="00C10179">
        <w:rPr>
          <w:color w:val="auto"/>
        </w:rPr>
        <w:t xml:space="preserve">nichtig, </w:t>
      </w:r>
      <w:r w:rsidR="00113076">
        <w:rPr>
          <w:color w:val="auto"/>
        </w:rPr>
        <w:br/>
      </w:r>
      <w:r w:rsidR="00935780" w:rsidRPr="00C10179">
        <w:rPr>
          <w:color w:val="auto"/>
        </w:rPr>
        <w:t>§</w:t>
      </w:r>
      <w:r w:rsidR="009552A4">
        <w:rPr>
          <w:color w:val="auto"/>
        </w:rPr>
        <w:t>§ 104,</w:t>
      </w:r>
      <w:r w:rsidR="00935780" w:rsidRPr="00C10179">
        <w:rPr>
          <w:color w:val="auto"/>
        </w:rPr>
        <w:t xml:space="preserve"> 105 </w:t>
      </w:r>
      <w:r w:rsidR="009552A4">
        <w:rPr>
          <w:color w:val="auto"/>
        </w:rPr>
        <w:t xml:space="preserve">I </w:t>
      </w:r>
      <w:r w:rsidR="00935780" w:rsidRPr="00C10179">
        <w:rPr>
          <w:color w:val="auto"/>
        </w:rPr>
        <w:t>BGB,</w:t>
      </w:r>
    </w:p>
    <w:p w14:paraId="598C44DF" w14:textId="77777777" w:rsidR="00075567" w:rsidRPr="00C10179" w:rsidRDefault="00075567" w:rsidP="00620A24">
      <w:pPr>
        <w:pStyle w:val="SchemaDefinitionenHeader"/>
        <w:ind w:left="1068"/>
        <w:rPr>
          <w:color w:val="auto"/>
        </w:rPr>
      </w:pPr>
    </w:p>
    <w:p w14:paraId="06551325" w14:textId="77777777" w:rsidR="00C53086" w:rsidRDefault="00935780" w:rsidP="00935780">
      <w:pPr>
        <w:pStyle w:val="SchemaDefinitionenHeader"/>
        <w:numPr>
          <w:ilvl w:val="0"/>
          <w:numId w:val="26"/>
        </w:numPr>
        <w:rPr>
          <w:color w:val="auto"/>
        </w:rPr>
      </w:pPr>
      <w:r w:rsidRPr="00075567">
        <w:rPr>
          <w:i/>
          <w:iCs/>
          <w:color w:val="auto"/>
        </w:rPr>
        <w:t>Beschränkt</w:t>
      </w:r>
      <w:r w:rsidR="00DE46C3" w:rsidRPr="00075567">
        <w:rPr>
          <w:i/>
          <w:iCs/>
          <w:color w:val="auto"/>
        </w:rPr>
        <w:t>e</w:t>
      </w:r>
      <w:r w:rsidRPr="00075567">
        <w:rPr>
          <w:i/>
          <w:iCs/>
          <w:color w:val="auto"/>
        </w:rPr>
        <w:t xml:space="preserve"> </w:t>
      </w:r>
      <w:r w:rsidR="00DE46C3" w:rsidRPr="00075567">
        <w:rPr>
          <w:i/>
          <w:iCs/>
          <w:color w:val="auto"/>
        </w:rPr>
        <w:t>G</w:t>
      </w:r>
      <w:r w:rsidRPr="00075567">
        <w:rPr>
          <w:i/>
          <w:iCs/>
          <w:color w:val="auto"/>
        </w:rPr>
        <w:t>eschäftsfähig</w:t>
      </w:r>
      <w:r w:rsidR="00DE46C3" w:rsidRPr="00075567">
        <w:rPr>
          <w:i/>
          <w:iCs/>
          <w:color w:val="auto"/>
        </w:rPr>
        <w:t>keit</w:t>
      </w:r>
      <w:r w:rsidR="00955012">
        <w:rPr>
          <w:color w:val="auto"/>
        </w:rPr>
        <w:t>:</w:t>
      </w:r>
    </w:p>
    <w:p w14:paraId="03606F05" w14:textId="30A50A12" w:rsidR="00935780" w:rsidRDefault="00553F5B" w:rsidP="00620A24">
      <w:pPr>
        <w:pStyle w:val="SchemaDefinitionenHeader"/>
        <w:ind w:left="1068"/>
        <w:rPr>
          <w:color w:val="auto"/>
        </w:rPr>
      </w:pPr>
      <w:r>
        <w:rPr>
          <w:color w:val="auto"/>
        </w:rPr>
        <w:t xml:space="preserve">Beschränkt geschäftsfähig sind Kinder bzw. Jugendliche zwischen sieben und 18 Jahren. </w:t>
      </w:r>
      <w:r w:rsidR="00B87FDA" w:rsidRPr="00620A24">
        <w:rPr>
          <w:color w:val="auto"/>
        </w:rPr>
        <w:t xml:space="preserve">Siehe </w:t>
      </w:r>
      <w:r w:rsidR="00075567" w:rsidRPr="00620A24">
        <w:rPr>
          <w:color w:val="auto"/>
        </w:rPr>
        <w:t xml:space="preserve">hierzu das </w:t>
      </w:r>
      <w:r w:rsidR="00B87FDA" w:rsidRPr="00620A24">
        <w:rPr>
          <w:i/>
          <w:iCs/>
          <w:color w:val="auto"/>
        </w:rPr>
        <w:t xml:space="preserve">Schema zum </w:t>
      </w:r>
      <w:proofErr w:type="spellStart"/>
      <w:r w:rsidR="00B87FDA" w:rsidRPr="00620A24">
        <w:rPr>
          <w:i/>
          <w:iCs/>
          <w:color w:val="auto"/>
        </w:rPr>
        <w:t>Minderjährigenrecht</w:t>
      </w:r>
      <w:proofErr w:type="spellEnd"/>
      <w:r w:rsidR="00935780" w:rsidRPr="00C53086">
        <w:rPr>
          <w:color w:val="auto"/>
        </w:rPr>
        <w:t>,</w:t>
      </w:r>
    </w:p>
    <w:p w14:paraId="22D0D873" w14:textId="77777777" w:rsidR="00075567" w:rsidRPr="00C10179" w:rsidRDefault="00075567" w:rsidP="00620A24">
      <w:pPr>
        <w:pStyle w:val="SchemaDefinitionenHeader"/>
        <w:rPr>
          <w:color w:val="auto"/>
        </w:rPr>
      </w:pPr>
    </w:p>
    <w:p w14:paraId="69816DF4" w14:textId="77777777" w:rsidR="00C53086" w:rsidRPr="00620A24" w:rsidRDefault="00935780" w:rsidP="00075567">
      <w:pPr>
        <w:pStyle w:val="SchemaDefinitionenHeader"/>
        <w:numPr>
          <w:ilvl w:val="0"/>
          <w:numId w:val="26"/>
        </w:numPr>
        <w:rPr>
          <w:b/>
          <w:color w:val="auto"/>
        </w:rPr>
      </w:pPr>
      <w:r w:rsidRPr="00075567">
        <w:rPr>
          <w:i/>
          <w:iCs/>
          <w:color w:val="auto"/>
        </w:rPr>
        <w:t xml:space="preserve">Unbeschränkte </w:t>
      </w:r>
      <w:r w:rsidR="00DE46C3" w:rsidRPr="00075567">
        <w:rPr>
          <w:i/>
          <w:iCs/>
          <w:color w:val="auto"/>
        </w:rPr>
        <w:t>Geschäftsfähigkeit</w:t>
      </w:r>
      <w:r w:rsidR="00DE46C3">
        <w:rPr>
          <w:color w:val="auto"/>
        </w:rPr>
        <w:t>:</w:t>
      </w:r>
    </w:p>
    <w:p w14:paraId="2FBFBA1B" w14:textId="4680217E" w:rsidR="00935780" w:rsidRPr="00075567" w:rsidRDefault="00DE46C3" w:rsidP="00620A24">
      <w:pPr>
        <w:pStyle w:val="SchemaDefinitionenHeader"/>
        <w:ind w:left="1068"/>
        <w:rPr>
          <w:b/>
          <w:color w:val="auto"/>
        </w:rPr>
      </w:pPr>
      <w:r>
        <w:rPr>
          <w:color w:val="auto"/>
        </w:rPr>
        <w:t>Grundsätzlich ist</w:t>
      </w:r>
      <w:r w:rsidR="00955012">
        <w:rPr>
          <w:color w:val="auto"/>
        </w:rPr>
        <w:t xml:space="preserve"> jede volljährige Person</w:t>
      </w:r>
      <w:r>
        <w:rPr>
          <w:color w:val="auto"/>
        </w:rPr>
        <w:t xml:space="preserve"> im Um</w:t>
      </w:r>
      <w:r w:rsidR="00955012">
        <w:rPr>
          <w:color w:val="auto"/>
        </w:rPr>
        <w:t>keh</w:t>
      </w:r>
      <w:r>
        <w:rPr>
          <w:color w:val="auto"/>
        </w:rPr>
        <w:t>rschluss zu §§ 104, 10</w:t>
      </w:r>
      <w:r w:rsidR="00E34156">
        <w:rPr>
          <w:color w:val="auto"/>
        </w:rPr>
        <w:t>6 BGB voll geschäftsfähig</w:t>
      </w:r>
      <w:r w:rsidR="00553F5B">
        <w:rPr>
          <w:color w:val="auto"/>
        </w:rPr>
        <w:t>.</w:t>
      </w:r>
    </w:p>
    <w:p w14:paraId="44357CF3" w14:textId="77777777" w:rsidR="00D01277" w:rsidRPr="00511048" w:rsidRDefault="00D01277" w:rsidP="00D01277">
      <w:pPr>
        <w:pStyle w:val="Tatbestandberschriften"/>
        <w:tabs>
          <w:tab w:val="left" w:pos="3965"/>
        </w:tabs>
        <w:spacing w:after="0"/>
        <w:rPr>
          <w:b w:val="0"/>
        </w:rPr>
      </w:pPr>
    </w:p>
    <w:p w14:paraId="600902FE" w14:textId="2332A430" w:rsidR="009552A4" w:rsidRPr="00620A24" w:rsidRDefault="005772EE" w:rsidP="00620A24">
      <w:pPr>
        <w:pStyle w:val="SchemaDefinitionenHeader"/>
        <w:numPr>
          <w:ilvl w:val="0"/>
          <w:numId w:val="31"/>
        </w:numPr>
        <w:ind w:left="720"/>
        <w:rPr>
          <w:rStyle w:val="Hyperlink"/>
          <w:b/>
          <w:color w:val="auto"/>
          <w:u w:val="none"/>
        </w:rPr>
      </w:pPr>
      <w:r w:rsidRPr="00620A24">
        <w:rPr>
          <w:rStyle w:val="Hyperlink"/>
          <w:b/>
          <w:color w:val="auto"/>
          <w:u w:val="none"/>
        </w:rPr>
        <w:t>Anspruch entstanden</w:t>
      </w:r>
    </w:p>
    <w:p w14:paraId="4664F1BB" w14:textId="68D18832" w:rsidR="000D19B5" w:rsidRPr="00620A24" w:rsidRDefault="00BF4006" w:rsidP="00620A24">
      <w:pPr>
        <w:pStyle w:val="SchemaDefinitionenHeader"/>
        <w:numPr>
          <w:ilvl w:val="0"/>
          <w:numId w:val="30"/>
        </w:numPr>
        <w:rPr>
          <w:rStyle w:val="Hyperlink"/>
          <w:b/>
          <w:bCs/>
          <w:color w:val="auto"/>
          <w:u w:val="none"/>
        </w:rPr>
      </w:pPr>
      <w:r w:rsidRPr="00620A24">
        <w:rPr>
          <w:rStyle w:val="Hyperlink"/>
          <w:b/>
          <w:bCs/>
          <w:color w:val="auto"/>
          <w:u w:val="none"/>
        </w:rPr>
        <w:t>Vertragsschluss</w:t>
      </w:r>
    </w:p>
    <w:p w14:paraId="6A156C86" w14:textId="2EE0AD57" w:rsidR="00805215" w:rsidRPr="00620A24" w:rsidRDefault="00BF4006" w:rsidP="00805215">
      <w:pPr>
        <w:pStyle w:val="SchemaDefinitionenHeader"/>
        <w:numPr>
          <w:ilvl w:val="1"/>
          <w:numId w:val="30"/>
        </w:numPr>
        <w:rPr>
          <w:rStyle w:val="Hyperlink"/>
          <w:i/>
          <w:iCs/>
          <w:color w:val="auto"/>
          <w:u w:val="none"/>
        </w:rPr>
      </w:pPr>
      <w:r w:rsidRPr="00620A24">
        <w:rPr>
          <w:rStyle w:val="Hyperlink"/>
          <w:i/>
          <w:iCs/>
          <w:color w:val="auto"/>
          <w:u w:val="none"/>
        </w:rPr>
        <w:t>Willenserklärung</w:t>
      </w:r>
    </w:p>
    <w:p w14:paraId="553765F5" w14:textId="3C91A728" w:rsidR="004D58FB" w:rsidRDefault="00E34CB9" w:rsidP="00620A24">
      <w:pPr>
        <w:pStyle w:val="SchemaDefinitionenHeader"/>
        <w:ind w:left="1800"/>
        <w:rPr>
          <w:color w:val="auto"/>
        </w:rPr>
      </w:pPr>
      <w:r w:rsidRPr="00075567">
        <w:rPr>
          <w:color w:val="auto"/>
        </w:rPr>
        <w:t>Zunächst ist zu prüfen, ob eine</w:t>
      </w:r>
      <w:r w:rsidR="004D58FB" w:rsidRPr="00075567">
        <w:rPr>
          <w:color w:val="auto"/>
        </w:rPr>
        <w:t xml:space="preserve"> Willenserklärung</w:t>
      </w:r>
      <w:r w:rsidRPr="00075567">
        <w:rPr>
          <w:color w:val="auto"/>
        </w:rPr>
        <w:t xml:space="preserve"> vorliegt</w:t>
      </w:r>
      <w:r w:rsidR="004D58FB" w:rsidRPr="00075567">
        <w:rPr>
          <w:color w:val="auto"/>
        </w:rPr>
        <w:t>, sei es ein Angebot</w:t>
      </w:r>
      <w:r w:rsidR="00C53086">
        <w:rPr>
          <w:color w:val="auto"/>
        </w:rPr>
        <w:t xml:space="preserve"> oder</w:t>
      </w:r>
      <w:r w:rsidR="004D58FB" w:rsidRPr="00075567">
        <w:rPr>
          <w:color w:val="auto"/>
        </w:rPr>
        <w:t xml:space="preserve"> eine Annahme</w:t>
      </w:r>
      <w:r w:rsidR="006A2C27">
        <w:rPr>
          <w:color w:val="auto"/>
        </w:rPr>
        <w:t>.</w:t>
      </w:r>
    </w:p>
    <w:p w14:paraId="617BBCCC" w14:textId="62327F6C" w:rsidR="00C53086" w:rsidRDefault="00F938CE" w:rsidP="00C53086">
      <w:pPr>
        <w:pStyle w:val="SchemaDefinitionenHeader"/>
        <w:ind w:left="1800"/>
        <w:rPr>
          <w:color w:val="auto"/>
        </w:rPr>
      </w:pPr>
      <w:r>
        <w:rPr>
          <w:color w:val="auto"/>
        </w:rPr>
        <w:t xml:space="preserve">Dabei ist, wenn ein Fall des § 104 Nr. 2 BGB oder § 105 II BGB möglich erscheint, </w:t>
      </w:r>
      <w:r w:rsidR="00053315">
        <w:rPr>
          <w:color w:val="auto"/>
        </w:rPr>
        <w:t>beim Tatbestand der Willenserklärung</w:t>
      </w:r>
      <w:r w:rsidR="00C53086">
        <w:rPr>
          <w:color w:val="auto"/>
        </w:rPr>
        <w:t>,</w:t>
      </w:r>
      <w:r w:rsidR="00053315">
        <w:rPr>
          <w:color w:val="auto"/>
        </w:rPr>
        <w:t xml:space="preserve"> insbesondere zu prüfen, ob der Handlungswille </w:t>
      </w:r>
      <w:r w:rsidR="00113076">
        <w:rPr>
          <w:color w:val="auto"/>
        </w:rPr>
        <w:t xml:space="preserve">bejaht werden kann </w:t>
      </w:r>
      <w:r w:rsidR="00053315">
        <w:rPr>
          <w:color w:val="auto"/>
        </w:rPr>
        <w:t>(</w:t>
      </w:r>
      <w:r w:rsidR="00C53086" w:rsidRPr="00620A24">
        <w:rPr>
          <w:color w:val="auto"/>
        </w:rPr>
        <w:t>s</w:t>
      </w:r>
      <w:r w:rsidR="00053315" w:rsidRPr="00620A24">
        <w:rPr>
          <w:color w:val="auto"/>
        </w:rPr>
        <w:t>iehe</w:t>
      </w:r>
      <w:r w:rsidR="00C53086" w:rsidRPr="00620A24">
        <w:rPr>
          <w:color w:val="auto"/>
        </w:rPr>
        <w:t xml:space="preserve"> hier</w:t>
      </w:r>
      <w:r w:rsidR="00C53086">
        <w:rPr>
          <w:color w:val="auto"/>
        </w:rPr>
        <w:t>zu</w:t>
      </w:r>
      <w:r w:rsidR="00053315" w:rsidRPr="00620A24">
        <w:rPr>
          <w:color w:val="auto"/>
        </w:rPr>
        <w:t xml:space="preserve"> </w:t>
      </w:r>
      <w:r w:rsidR="00C53086" w:rsidRPr="00620A24">
        <w:rPr>
          <w:color w:val="auto"/>
        </w:rPr>
        <w:t xml:space="preserve">das Skript zu </w:t>
      </w:r>
      <w:r w:rsidR="0008728A" w:rsidRPr="00620A24">
        <w:rPr>
          <w:i/>
          <w:iCs/>
          <w:color w:val="auto"/>
        </w:rPr>
        <w:t>Definitionen Grundbegriffe des BGB</w:t>
      </w:r>
      <w:r w:rsidR="0008728A">
        <w:rPr>
          <w:color w:val="auto"/>
        </w:rPr>
        <w:t xml:space="preserve">). </w:t>
      </w:r>
    </w:p>
    <w:p w14:paraId="6AA3A525" w14:textId="464F2CE6" w:rsidR="006A2C27" w:rsidRDefault="0008728A" w:rsidP="00C53086">
      <w:pPr>
        <w:pStyle w:val="SchemaDefinitionenHeader"/>
        <w:ind w:left="1800"/>
        <w:rPr>
          <w:color w:val="auto"/>
        </w:rPr>
      </w:pPr>
      <w:r>
        <w:rPr>
          <w:color w:val="auto"/>
        </w:rPr>
        <w:t>Dieser fehlt</w:t>
      </w:r>
      <w:r w:rsidR="00E4102B">
        <w:rPr>
          <w:color w:val="auto"/>
        </w:rPr>
        <w:t xml:space="preserve"> bei nicht </w:t>
      </w:r>
      <w:r w:rsidR="00D6660C">
        <w:rPr>
          <w:color w:val="auto"/>
        </w:rPr>
        <w:t>w</w:t>
      </w:r>
      <w:r w:rsidR="00E4102B">
        <w:rPr>
          <w:color w:val="auto"/>
        </w:rPr>
        <w:t>illensgesteuerte</w:t>
      </w:r>
      <w:r w:rsidR="00D6660C">
        <w:rPr>
          <w:color w:val="auto"/>
        </w:rPr>
        <w:t>m</w:t>
      </w:r>
      <w:r w:rsidR="00E4102B">
        <w:rPr>
          <w:color w:val="auto"/>
        </w:rPr>
        <w:t xml:space="preserve"> Verhalten, </w:t>
      </w:r>
      <w:r w:rsidR="00C53086">
        <w:rPr>
          <w:color w:val="auto"/>
        </w:rPr>
        <w:t>so bspw. bei</w:t>
      </w:r>
      <w:r w:rsidR="00E4102B">
        <w:rPr>
          <w:color w:val="auto"/>
        </w:rPr>
        <w:t xml:space="preserve"> Bewusstlosigkeit</w:t>
      </w:r>
      <w:r w:rsidR="00D6660C">
        <w:rPr>
          <w:color w:val="auto"/>
        </w:rPr>
        <w:t xml:space="preserve"> im Sinne von Ohnmacht</w:t>
      </w:r>
      <w:r w:rsidR="00E4102B">
        <w:rPr>
          <w:color w:val="auto"/>
        </w:rPr>
        <w:t xml:space="preserve"> oder Reflexen.</w:t>
      </w:r>
    </w:p>
    <w:p w14:paraId="5F678F84" w14:textId="77777777" w:rsidR="00C53086" w:rsidRDefault="00C53086" w:rsidP="00620A24">
      <w:pPr>
        <w:pStyle w:val="SchemaDefinitionenHeader"/>
        <w:ind w:left="1800"/>
        <w:rPr>
          <w:color w:val="auto"/>
        </w:rPr>
      </w:pPr>
    </w:p>
    <w:p w14:paraId="21BB86B0" w14:textId="7E5FB61C" w:rsidR="0029299E" w:rsidRPr="00620A24" w:rsidRDefault="0029299E" w:rsidP="00805215">
      <w:pPr>
        <w:pStyle w:val="SchemaDefinitionenHeader"/>
        <w:numPr>
          <w:ilvl w:val="1"/>
          <w:numId w:val="30"/>
        </w:numPr>
        <w:rPr>
          <w:rStyle w:val="Hyperlink"/>
          <w:i/>
          <w:iCs/>
          <w:color w:val="auto"/>
          <w:u w:val="none"/>
        </w:rPr>
      </w:pPr>
      <w:r w:rsidRPr="00620A24">
        <w:rPr>
          <w:rStyle w:val="Hyperlink"/>
          <w:i/>
          <w:iCs/>
          <w:color w:val="auto"/>
          <w:u w:val="none"/>
        </w:rPr>
        <w:t>Wirksamwerden einer Willenserklärung gegenüber einem Geschäftsunfähigen, § 131 I BGB</w:t>
      </w:r>
    </w:p>
    <w:p w14:paraId="2643AC6D" w14:textId="77777777" w:rsidR="00C53086" w:rsidRDefault="00A523FD" w:rsidP="00C53086">
      <w:pPr>
        <w:pStyle w:val="SchemaDefinitionenHeader"/>
        <w:ind w:left="1800"/>
        <w:rPr>
          <w:color w:val="auto"/>
        </w:rPr>
      </w:pPr>
      <w:r>
        <w:rPr>
          <w:color w:val="auto"/>
        </w:rPr>
        <w:t xml:space="preserve">Auf der Ebene des Wirksamwerdens derjenigen </w:t>
      </w:r>
      <w:r w:rsidR="00241259">
        <w:rPr>
          <w:color w:val="auto"/>
        </w:rPr>
        <w:t>Willenserklärung</w:t>
      </w:r>
      <w:r>
        <w:rPr>
          <w:color w:val="auto"/>
        </w:rPr>
        <w:t xml:space="preserve">, </w:t>
      </w:r>
      <w:r w:rsidR="00241259">
        <w:rPr>
          <w:color w:val="auto"/>
        </w:rPr>
        <w:t>die</w:t>
      </w:r>
      <w:r>
        <w:rPr>
          <w:color w:val="auto"/>
        </w:rPr>
        <w:t xml:space="preserve"> gegenüber dem Geschäftsunfähigen abgegeben wurde, ist § 131 I BGB </w:t>
      </w:r>
      <w:r>
        <w:rPr>
          <w:color w:val="auto"/>
        </w:rPr>
        <w:lastRenderedPageBreak/>
        <w:t>zu beachten.</w:t>
      </w:r>
      <w:r w:rsidR="00A05DAB" w:rsidRPr="00075567">
        <w:rPr>
          <w:color w:val="auto"/>
        </w:rPr>
        <w:t xml:space="preserve"> Angebot oder Annahme</w:t>
      </w:r>
      <w:r w:rsidR="00593C96">
        <w:rPr>
          <w:color w:val="auto"/>
        </w:rPr>
        <w:t xml:space="preserve"> werden demnach</w:t>
      </w:r>
      <w:r w:rsidR="00F107CD">
        <w:rPr>
          <w:color w:val="auto"/>
        </w:rPr>
        <w:t xml:space="preserve"> gegenüber einem </w:t>
      </w:r>
      <w:r w:rsidR="00BC55F9">
        <w:rPr>
          <w:color w:val="auto"/>
        </w:rPr>
        <w:t>Geschäftsunfähigen</w:t>
      </w:r>
      <w:r w:rsidR="00F107CD">
        <w:rPr>
          <w:color w:val="auto"/>
        </w:rPr>
        <w:t xml:space="preserve"> nur </w:t>
      </w:r>
      <w:r w:rsidR="00BC55F9">
        <w:rPr>
          <w:color w:val="auto"/>
        </w:rPr>
        <w:t xml:space="preserve">mit Zugang bei dessen gesetzlichen Vertreter wirksam. </w:t>
      </w:r>
    </w:p>
    <w:p w14:paraId="49EBA151" w14:textId="50B1CC3B" w:rsidR="00241259" w:rsidRDefault="00BC55F9" w:rsidP="00620A24">
      <w:pPr>
        <w:pStyle w:val="SchemaDefinitionenHeader"/>
        <w:ind w:left="1800"/>
        <w:rPr>
          <w:color w:val="auto"/>
        </w:rPr>
      </w:pPr>
      <w:r>
        <w:rPr>
          <w:color w:val="auto"/>
        </w:rPr>
        <w:t xml:space="preserve">Bei Kindern ist regelmäßig an die Vertretung durch die Eltern gem. </w:t>
      </w:r>
      <w:r w:rsidR="00C53086">
        <w:rPr>
          <w:color w:val="auto"/>
        </w:rPr>
        <w:br/>
      </w:r>
      <w:r>
        <w:rPr>
          <w:color w:val="auto"/>
        </w:rPr>
        <w:t xml:space="preserve">§§ 1626 I, 1629 BGB zu denken, bei </w:t>
      </w:r>
      <w:r w:rsidR="004B3C76">
        <w:rPr>
          <w:color w:val="auto"/>
        </w:rPr>
        <w:t>betreuten Personen an den Betreuer gem. § 1902 BGB.</w:t>
      </w:r>
      <w:r w:rsidR="00C72083">
        <w:rPr>
          <w:color w:val="auto"/>
        </w:rPr>
        <w:t xml:space="preserve"> </w:t>
      </w:r>
    </w:p>
    <w:p w14:paraId="4C844849" w14:textId="427DC56D" w:rsidR="000816C5" w:rsidRDefault="000816C5" w:rsidP="00C53086">
      <w:pPr>
        <w:pStyle w:val="SchemaDefinitionenHeader"/>
        <w:ind w:left="1800"/>
        <w:rPr>
          <w:color w:val="auto"/>
        </w:rPr>
      </w:pPr>
      <w:r>
        <w:rPr>
          <w:color w:val="auto"/>
        </w:rPr>
        <w:t xml:space="preserve">Diese Norm ist dahingegen nicht anzuwenden auf Personen, die </w:t>
      </w:r>
      <w:r w:rsidR="0046498A">
        <w:rPr>
          <w:color w:val="auto"/>
        </w:rPr>
        <w:t xml:space="preserve">sich </w:t>
      </w:r>
      <w:r>
        <w:rPr>
          <w:color w:val="auto"/>
        </w:rPr>
        <w:t xml:space="preserve">gem. § 105 II </w:t>
      </w:r>
      <w:r w:rsidR="0046498A">
        <w:rPr>
          <w:color w:val="auto"/>
        </w:rPr>
        <w:t xml:space="preserve">BGB in </w:t>
      </w:r>
      <w:r>
        <w:rPr>
          <w:color w:val="auto"/>
        </w:rPr>
        <w:t xml:space="preserve">einem </w:t>
      </w:r>
      <w:r w:rsidR="0046498A" w:rsidRPr="0046498A">
        <w:rPr>
          <w:color w:val="auto"/>
        </w:rPr>
        <w:t>Zustand der Bewusstlosigkeit oder vorübergehender Störung der Geistestätigkeit</w:t>
      </w:r>
      <w:r w:rsidR="0046498A">
        <w:rPr>
          <w:color w:val="auto"/>
        </w:rPr>
        <w:t xml:space="preserve"> befinden.</w:t>
      </w:r>
      <w:r w:rsidR="007D2B44">
        <w:rPr>
          <w:color w:val="auto"/>
        </w:rPr>
        <w:t xml:space="preserve"> Diese sind </w:t>
      </w:r>
      <w:r w:rsidR="00C94FEA">
        <w:rPr>
          <w:color w:val="auto"/>
        </w:rPr>
        <w:t xml:space="preserve">systematisch nicht mit Geschäftsunfähigen </w:t>
      </w:r>
      <w:r w:rsidR="00344BFA">
        <w:rPr>
          <w:color w:val="auto"/>
        </w:rPr>
        <w:t>gleichgestellt</w:t>
      </w:r>
      <w:r w:rsidR="00C94FEA">
        <w:rPr>
          <w:color w:val="auto"/>
        </w:rPr>
        <w:t xml:space="preserve"> (</w:t>
      </w:r>
      <w:r w:rsidR="00C94FEA" w:rsidRPr="00C94FEA">
        <w:rPr>
          <w:color w:val="auto"/>
        </w:rPr>
        <w:t>MüKoBGB/</w:t>
      </w:r>
      <w:proofErr w:type="spellStart"/>
      <w:r w:rsidR="00C94FEA" w:rsidRPr="00C94FEA">
        <w:rPr>
          <w:color w:val="auto"/>
        </w:rPr>
        <w:t>Einsele</w:t>
      </w:r>
      <w:proofErr w:type="spellEnd"/>
      <w:r w:rsidR="00C94FEA" w:rsidRPr="00C94FEA">
        <w:rPr>
          <w:color w:val="auto"/>
        </w:rPr>
        <w:t xml:space="preserve"> BGB § 131 </w:t>
      </w:r>
      <w:proofErr w:type="spellStart"/>
      <w:r w:rsidR="00C94FEA" w:rsidRPr="00C94FEA">
        <w:rPr>
          <w:color w:val="auto"/>
        </w:rPr>
        <w:t>Rn</w:t>
      </w:r>
      <w:proofErr w:type="spellEnd"/>
      <w:r w:rsidR="00C94FEA" w:rsidRPr="00C94FEA">
        <w:rPr>
          <w:color w:val="auto"/>
        </w:rPr>
        <w:t xml:space="preserve">. </w:t>
      </w:r>
      <w:hyperlink r:id="rId7" w:history="1">
        <w:r w:rsidR="00C94FEA" w:rsidRPr="00620A24">
          <w:rPr>
            <w:rStyle w:val="Hyperlink"/>
            <w:color w:val="688AF8"/>
            <w:u w:val="none"/>
          </w:rPr>
          <w:t>2</w:t>
        </w:r>
      </w:hyperlink>
      <w:r w:rsidR="00C94FEA">
        <w:rPr>
          <w:color w:val="auto"/>
        </w:rPr>
        <w:t>).</w:t>
      </w:r>
    </w:p>
    <w:p w14:paraId="6E0BB7E4" w14:textId="77777777" w:rsidR="00C53086" w:rsidRDefault="00C53086" w:rsidP="00620A24">
      <w:pPr>
        <w:pStyle w:val="SchemaDefinitionenHeader"/>
        <w:ind w:left="1800"/>
        <w:rPr>
          <w:color w:val="auto"/>
        </w:rPr>
      </w:pPr>
    </w:p>
    <w:p w14:paraId="2D112A31" w14:textId="0908A932" w:rsidR="00C47FFE" w:rsidRPr="00243712" w:rsidRDefault="00C47FFE" w:rsidP="00C47FFE">
      <w:pPr>
        <w:pStyle w:val="SchemaDefinitionenHeader"/>
        <w:ind w:left="1800"/>
        <w:rPr>
          <w:color w:val="auto"/>
        </w:rPr>
      </w:pPr>
      <w:r w:rsidRPr="00620A24">
        <w:rPr>
          <w:i/>
          <w:iCs/>
          <w:color w:val="auto"/>
        </w:rPr>
        <w:t>Hinweis:</w:t>
      </w:r>
      <w:r>
        <w:rPr>
          <w:color w:val="auto"/>
        </w:rPr>
        <w:t xml:space="preserve"> Losgelöst von diesem </w:t>
      </w:r>
      <w:r w:rsidR="00FF0ECE">
        <w:rPr>
          <w:color w:val="auto"/>
        </w:rPr>
        <w:t xml:space="preserve">vertraglichen </w:t>
      </w:r>
      <w:r>
        <w:rPr>
          <w:color w:val="auto"/>
        </w:rPr>
        <w:t>Schema findet diese Norm auch auf</w:t>
      </w:r>
      <w:r w:rsidRPr="00A26AF0">
        <w:rPr>
          <w:color w:val="auto"/>
        </w:rPr>
        <w:t xml:space="preserve"> andere empfangsbedürftige Willenserklärung</w:t>
      </w:r>
      <w:r w:rsidR="00113076">
        <w:rPr>
          <w:color w:val="auto"/>
        </w:rPr>
        <w:t>en</w:t>
      </w:r>
      <w:r w:rsidRPr="00A26AF0">
        <w:rPr>
          <w:color w:val="auto"/>
        </w:rPr>
        <w:t>, beispielsweise die Anfechtung oder der Widerruf eines Vertrages</w:t>
      </w:r>
      <w:r>
        <w:rPr>
          <w:color w:val="auto"/>
        </w:rPr>
        <w:t>, Anwendung.</w:t>
      </w:r>
    </w:p>
    <w:p w14:paraId="40D8636A" w14:textId="77777777" w:rsidR="00C47FFE" w:rsidRPr="00075567" w:rsidRDefault="00C47FFE" w:rsidP="00075567">
      <w:pPr>
        <w:pStyle w:val="SchemaDefinitionenHeader"/>
        <w:ind w:left="1440"/>
        <w:rPr>
          <w:color w:val="auto"/>
        </w:rPr>
      </w:pPr>
    </w:p>
    <w:p w14:paraId="28C4418F" w14:textId="78FBA9D3" w:rsidR="00805215" w:rsidRPr="00620A24" w:rsidRDefault="00805215" w:rsidP="00805215">
      <w:pPr>
        <w:pStyle w:val="SchemaDefinitionenHeader"/>
        <w:numPr>
          <w:ilvl w:val="1"/>
          <w:numId w:val="30"/>
        </w:numPr>
        <w:rPr>
          <w:rStyle w:val="Hyperlink"/>
          <w:i/>
          <w:iCs/>
          <w:color w:val="auto"/>
          <w:u w:val="none"/>
        </w:rPr>
      </w:pPr>
      <w:r w:rsidRPr="00620A24">
        <w:rPr>
          <w:rStyle w:val="Hyperlink"/>
          <w:i/>
          <w:iCs/>
          <w:color w:val="auto"/>
          <w:u w:val="none"/>
        </w:rPr>
        <w:t>Nichtigkeit</w:t>
      </w:r>
      <w:r w:rsidR="00BF4006" w:rsidRPr="00620A24">
        <w:rPr>
          <w:rStyle w:val="Hyperlink"/>
          <w:i/>
          <w:iCs/>
          <w:color w:val="auto"/>
          <w:u w:val="none"/>
        </w:rPr>
        <w:t xml:space="preserve"> der Willenserklärung</w:t>
      </w:r>
      <w:r w:rsidR="002E330A" w:rsidRPr="00620A24">
        <w:rPr>
          <w:rStyle w:val="Hyperlink"/>
          <w:i/>
          <w:iCs/>
          <w:color w:val="auto"/>
          <w:u w:val="none"/>
        </w:rPr>
        <w:t xml:space="preserve"> des Geschäftsunfähigen</w:t>
      </w:r>
    </w:p>
    <w:p w14:paraId="44F7AF03" w14:textId="6C186233" w:rsidR="00C53086" w:rsidRPr="00620A24" w:rsidRDefault="00805215" w:rsidP="00620A24">
      <w:pPr>
        <w:pStyle w:val="SchemaDefinitionenHeader"/>
        <w:numPr>
          <w:ilvl w:val="0"/>
          <w:numId w:val="34"/>
        </w:numPr>
        <w:rPr>
          <w:i/>
          <w:iCs/>
          <w:color w:val="auto"/>
        </w:rPr>
      </w:pPr>
      <w:r w:rsidRPr="00620A24">
        <w:rPr>
          <w:i/>
          <w:iCs/>
          <w:color w:val="auto"/>
        </w:rPr>
        <w:t>§ 105 I BGB: Geschäftsunfähigkeit gem. § 104 BGB</w:t>
      </w:r>
    </w:p>
    <w:p w14:paraId="600B34EE" w14:textId="7E7C3057" w:rsidR="00340C3D" w:rsidRDefault="008F240B" w:rsidP="00C53086">
      <w:pPr>
        <w:pStyle w:val="SchemaDefinitionenHeader"/>
        <w:ind w:left="2484"/>
        <w:rPr>
          <w:color w:val="auto"/>
        </w:rPr>
      </w:pPr>
      <w:r w:rsidRPr="00C53086">
        <w:rPr>
          <w:color w:val="auto"/>
        </w:rPr>
        <w:t xml:space="preserve">Gem. § 105 I BGB ist die Willenserklärung eines </w:t>
      </w:r>
      <w:r w:rsidR="00113076">
        <w:rPr>
          <w:color w:val="auto"/>
        </w:rPr>
        <w:t>G</w:t>
      </w:r>
      <w:r w:rsidRPr="00C53086">
        <w:rPr>
          <w:color w:val="auto"/>
        </w:rPr>
        <w:t>eschäftsunfähigen nichtig</w:t>
      </w:r>
      <w:r w:rsidR="00C53086">
        <w:rPr>
          <w:color w:val="auto"/>
        </w:rPr>
        <w:t>.</w:t>
      </w:r>
    </w:p>
    <w:p w14:paraId="4B9EAE20" w14:textId="77777777" w:rsidR="00C53086" w:rsidRPr="00C53086" w:rsidRDefault="00C53086" w:rsidP="00620A24">
      <w:pPr>
        <w:pStyle w:val="SchemaDefinitionenHeader"/>
        <w:ind w:left="2484"/>
        <w:rPr>
          <w:color w:val="auto"/>
        </w:rPr>
      </w:pPr>
    </w:p>
    <w:p w14:paraId="16581989" w14:textId="55780E4F" w:rsidR="002029F0" w:rsidRDefault="002029F0" w:rsidP="00620A24">
      <w:pPr>
        <w:pStyle w:val="SchemaDefinitionenHeader"/>
        <w:ind w:left="1776" w:firstLine="708"/>
        <w:rPr>
          <w:color w:val="auto"/>
        </w:rPr>
      </w:pPr>
      <w:r w:rsidRPr="00075567">
        <w:rPr>
          <w:color w:val="auto"/>
        </w:rPr>
        <w:t xml:space="preserve">§ 104 BGB </w:t>
      </w:r>
      <w:r w:rsidR="005B5F65" w:rsidRPr="00075567">
        <w:rPr>
          <w:color w:val="auto"/>
        </w:rPr>
        <w:t>unterschiedet</w:t>
      </w:r>
      <w:r w:rsidRPr="00075567">
        <w:rPr>
          <w:color w:val="auto"/>
        </w:rPr>
        <w:t xml:space="preserve"> zwei Arten von Geschäftsunfähigkeit:</w:t>
      </w:r>
    </w:p>
    <w:p w14:paraId="79C9DC6A" w14:textId="77777777" w:rsidR="00C53086" w:rsidRPr="00075567" w:rsidRDefault="00C53086" w:rsidP="00620A24">
      <w:pPr>
        <w:pStyle w:val="SchemaDefinitionenHeader"/>
        <w:ind w:left="1416" w:firstLine="708"/>
        <w:rPr>
          <w:color w:val="auto"/>
        </w:rPr>
      </w:pPr>
    </w:p>
    <w:p w14:paraId="2A704FA6" w14:textId="77777777" w:rsidR="00D33339" w:rsidRPr="00620A24" w:rsidRDefault="00E43ACF" w:rsidP="00620A24">
      <w:pPr>
        <w:pStyle w:val="SchemaDefinitionenHeader"/>
        <w:numPr>
          <w:ilvl w:val="3"/>
          <w:numId w:val="35"/>
        </w:numPr>
        <w:rPr>
          <w:i/>
          <w:iCs/>
          <w:color w:val="auto"/>
        </w:rPr>
      </w:pPr>
      <w:r w:rsidRPr="00620A24">
        <w:rPr>
          <w:i/>
          <w:iCs/>
          <w:color w:val="auto"/>
        </w:rPr>
        <w:t>§ 104 Nr. 1 BGB</w:t>
      </w:r>
    </w:p>
    <w:p w14:paraId="545419C3" w14:textId="1F6A51A3" w:rsidR="002029F0" w:rsidRDefault="00D33339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>G</w:t>
      </w:r>
      <w:r w:rsidR="00E43ACF" w:rsidRPr="00075567">
        <w:rPr>
          <w:color w:val="auto"/>
        </w:rPr>
        <w:t>eschäftsunfähig</w:t>
      </w:r>
      <w:r>
        <w:rPr>
          <w:color w:val="auto"/>
        </w:rPr>
        <w:t xml:space="preserve"> ist</w:t>
      </w:r>
      <w:r w:rsidR="00E43ACF" w:rsidRPr="00075567">
        <w:rPr>
          <w:color w:val="auto"/>
        </w:rPr>
        <w:t xml:space="preserve">, </w:t>
      </w:r>
      <w:r w:rsidR="00E43ACF" w:rsidRPr="00075567">
        <w:rPr>
          <w:i/>
          <w:iCs/>
          <w:color w:val="auto"/>
        </w:rPr>
        <w:t xml:space="preserve">wer </w:t>
      </w:r>
      <w:r w:rsidR="00B7551D">
        <w:rPr>
          <w:i/>
          <w:iCs/>
          <w:color w:val="auto"/>
        </w:rPr>
        <w:t xml:space="preserve">nicht </w:t>
      </w:r>
      <w:r w:rsidR="00E43ACF" w:rsidRPr="00075567">
        <w:rPr>
          <w:i/>
          <w:iCs/>
          <w:color w:val="auto"/>
        </w:rPr>
        <w:t xml:space="preserve">das siebente </w:t>
      </w:r>
      <w:r w:rsidR="005B5F65" w:rsidRPr="00075567">
        <w:rPr>
          <w:i/>
          <w:iCs/>
          <w:color w:val="auto"/>
        </w:rPr>
        <w:t>Lebensjahr</w:t>
      </w:r>
      <w:r w:rsidR="00E43ACF" w:rsidRPr="00075567">
        <w:rPr>
          <w:i/>
          <w:iCs/>
          <w:color w:val="auto"/>
        </w:rPr>
        <w:t xml:space="preserve"> vollendet hat</w:t>
      </w:r>
      <w:r w:rsidR="00113076">
        <w:rPr>
          <w:color w:val="auto"/>
        </w:rPr>
        <w:t>.</w:t>
      </w:r>
      <w:r w:rsidR="00E43ACF" w:rsidRPr="00075567">
        <w:rPr>
          <w:color w:val="auto"/>
        </w:rPr>
        <w:t xml:space="preserve"> </w:t>
      </w:r>
      <w:r w:rsidR="00113076">
        <w:rPr>
          <w:color w:val="auto"/>
        </w:rPr>
        <w:t>D</w:t>
      </w:r>
      <w:r w:rsidR="00C53086">
        <w:rPr>
          <w:color w:val="auto"/>
        </w:rPr>
        <w:t xml:space="preserve">.h. </w:t>
      </w:r>
      <w:r w:rsidR="00E43ACF" w:rsidRPr="00075567">
        <w:rPr>
          <w:color w:val="auto"/>
        </w:rPr>
        <w:t>also</w:t>
      </w:r>
      <w:r w:rsidR="00113076">
        <w:rPr>
          <w:color w:val="auto"/>
        </w:rPr>
        <w:t>, dass</w:t>
      </w:r>
      <w:r w:rsidR="00E43ACF" w:rsidRPr="00075567">
        <w:rPr>
          <w:color w:val="auto"/>
        </w:rPr>
        <w:t xml:space="preserve"> Kinder unter sieben</w:t>
      </w:r>
      <w:r w:rsidR="00922098">
        <w:rPr>
          <w:color w:val="auto"/>
        </w:rPr>
        <w:t xml:space="preserve"> Jahren</w:t>
      </w:r>
      <w:r w:rsidR="00C53086">
        <w:rPr>
          <w:color w:val="auto"/>
        </w:rPr>
        <w:t xml:space="preserve"> geschäftsunfähig</w:t>
      </w:r>
      <w:r w:rsidR="00113076">
        <w:rPr>
          <w:color w:val="auto"/>
        </w:rPr>
        <w:t xml:space="preserve"> sind</w:t>
      </w:r>
      <w:r>
        <w:rPr>
          <w:color w:val="auto"/>
        </w:rPr>
        <w:t xml:space="preserve">. </w:t>
      </w:r>
      <w:r w:rsidR="00E43ACF" w:rsidRPr="00075567">
        <w:rPr>
          <w:color w:val="auto"/>
        </w:rPr>
        <w:t xml:space="preserve">Mit </w:t>
      </w:r>
      <w:r w:rsidR="005B5F65" w:rsidRPr="00075567">
        <w:rPr>
          <w:color w:val="auto"/>
        </w:rPr>
        <w:t>dem siebenten Geburtstag tritt das Kind in die beschränkte Geschäftsfähigkeit ein (</w:t>
      </w:r>
      <w:r w:rsidR="00C53086" w:rsidRPr="00620A24">
        <w:rPr>
          <w:color w:val="auto"/>
        </w:rPr>
        <w:t>s</w:t>
      </w:r>
      <w:r w:rsidR="005B5F65" w:rsidRPr="00620A24">
        <w:rPr>
          <w:color w:val="auto"/>
        </w:rPr>
        <w:t xml:space="preserve">iehe </w:t>
      </w:r>
      <w:r w:rsidR="00C53086" w:rsidRPr="00620A24">
        <w:rPr>
          <w:color w:val="auto"/>
        </w:rPr>
        <w:t xml:space="preserve">hierzu das </w:t>
      </w:r>
      <w:r w:rsidR="004D3BFB" w:rsidRPr="00620A24">
        <w:rPr>
          <w:color w:val="auto"/>
        </w:rPr>
        <w:t>Schema</w:t>
      </w:r>
      <w:r w:rsidR="005B5F65" w:rsidRPr="00620A24">
        <w:rPr>
          <w:color w:val="auto"/>
        </w:rPr>
        <w:t xml:space="preserve"> zum </w:t>
      </w:r>
      <w:proofErr w:type="spellStart"/>
      <w:r w:rsidR="005B5F65" w:rsidRPr="00620A24">
        <w:rPr>
          <w:i/>
          <w:iCs/>
          <w:color w:val="auto"/>
        </w:rPr>
        <w:t>Minderjährigenrecht</w:t>
      </w:r>
      <w:proofErr w:type="spellEnd"/>
      <w:r w:rsidR="005B5F65" w:rsidRPr="00075567">
        <w:rPr>
          <w:color w:val="auto"/>
        </w:rPr>
        <w:t>)</w:t>
      </w:r>
      <w:r w:rsidR="00C53086">
        <w:rPr>
          <w:color w:val="auto"/>
        </w:rPr>
        <w:t>.</w:t>
      </w:r>
    </w:p>
    <w:p w14:paraId="349B0C4C" w14:textId="77777777" w:rsidR="00C53086" w:rsidRPr="00D33339" w:rsidRDefault="00C53086" w:rsidP="00620A24">
      <w:pPr>
        <w:pStyle w:val="SchemaDefinitionenHeader"/>
        <w:ind w:left="3228"/>
        <w:rPr>
          <w:color w:val="auto"/>
        </w:rPr>
      </w:pPr>
    </w:p>
    <w:p w14:paraId="428CCEC0" w14:textId="77777777" w:rsidR="00553F5B" w:rsidRDefault="00553F5B">
      <w:pPr>
        <w:rPr>
          <w:rFonts w:ascii="Open Sans" w:hAnsi="Open Sans" w:cs="Open Sans"/>
          <w:i/>
          <w:iCs/>
        </w:rPr>
      </w:pPr>
      <w:r>
        <w:rPr>
          <w:i/>
          <w:iCs/>
        </w:rPr>
        <w:br w:type="page"/>
      </w:r>
    </w:p>
    <w:p w14:paraId="6DEE4CC5" w14:textId="7BC7FEF4" w:rsidR="00D33339" w:rsidRPr="00620A24" w:rsidRDefault="00730311" w:rsidP="00620A24">
      <w:pPr>
        <w:pStyle w:val="SchemaDefinitionenHeader"/>
        <w:numPr>
          <w:ilvl w:val="3"/>
          <w:numId w:val="35"/>
        </w:numPr>
        <w:rPr>
          <w:i/>
          <w:iCs/>
          <w:color w:val="auto"/>
        </w:rPr>
      </w:pPr>
      <w:r w:rsidRPr="00620A24">
        <w:rPr>
          <w:i/>
          <w:iCs/>
          <w:color w:val="auto"/>
        </w:rPr>
        <w:lastRenderedPageBreak/>
        <w:t>§ 104 Nr. 2 BGB</w:t>
      </w:r>
    </w:p>
    <w:p w14:paraId="50414232" w14:textId="77777777" w:rsidR="004D3BFB" w:rsidRDefault="00730311" w:rsidP="00620A24">
      <w:pPr>
        <w:pStyle w:val="SchemaDefinitionenHeader"/>
        <w:ind w:left="3228"/>
        <w:rPr>
          <w:color w:val="auto"/>
        </w:rPr>
      </w:pPr>
      <w:r w:rsidRPr="00075567">
        <w:rPr>
          <w:i/>
          <w:iCs/>
          <w:color w:val="auto"/>
        </w:rPr>
        <w:t>Personen, die sich in einem dauerhaften, die freie Willensbestimmung ausschließenden Zustand krankhafter Störung der Geistestätigkeit befinde</w:t>
      </w:r>
      <w:r w:rsidR="00922098" w:rsidRPr="00075567">
        <w:rPr>
          <w:i/>
          <w:iCs/>
          <w:color w:val="auto"/>
        </w:rPr>
        <w:t>n</w:t>
      </w:r>
      <w:r w:rsidR="00922098">
        <w:rPr>
          <w:color w:val="auto"/>
        </w:rPr>
        <w:t xml:space="preserve">, </w:t>
      </w:r>
      <w:r w:rsidR="00D33339">
        <w:rPr>
          <w:color w:val="auto"/>
        </w:rPr>
        <w:t xml:space="preserve">sind </w:t>
      </w:r>
      <w:r w:rsidR="004D3BFB">
        <w:rPr>
          <w:color w:val="auto"/>
        </w:rPr>
        <w:t xml:space="preserve">ebenfalls </w:t>
      </w:r>
      <w:r w:rsidR="00922098">
        <w:rPr>
          <w:color w:val="auto"/>
        </w:rPr>
        <w:t>geschäftsunfähig.</w:t>
      </w:r>
    </w:p>
    <w:p w14:paraId="474AC85D" w14:textId="77777777" w:rsidR="00C53086" w:rsidRDefault="00B7551D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>P</w:t>
      </w:r>
      <w:r w:rsidRPr="00B7551D">
        <w:rPr>
          <w:color w:val="auto"/>
        </w:rPr>
        <w:t>sychische Erkrankungen</w:t>
      </w:r>
      <w:r w:rsidR="007E0196">
        <w:rPr>
          <w:color w:val="auto"/>
        </w:rPr>
        <w:t xml:space="preserve"> sind nur dann erfasst, wenn sie</w:t>
      </w:r>
      <w:r w:rsidRPr="00B7551D">
        <w:rPr>
          <w:color w:val="auto"/>
        </w:rPr>
        <w:t xml:space="preserve"> dauerhaft und für sämtliche Geschäfte die freie Willensbildung ausschließen, z</w:t>
      </w:r>
      <w:r w:rsidR="00C53086">
        <w:rPr>
          <w:color w:val="auto"/>
        </w:rPr>
        <w:t>.</w:t>
      </w:r>
      <w:r w:rsidRPr="00B7551D">
        <w:rPr>
          <w:color w:val="auto"/>
        </w:rPr>
        <w:t>B</w:t>
      </w:r>
      <w:r w:rsidR="00C53086">
        <w:rPr>
          <w:color w:val="auto"/>
        </w:rPr>
        <w:t>.</w:t>
      </w:r>
      <w:r w:rsidRPr="00B7551D">
        <w:rPr>
          <w:color w:val="auto"/>
        </w:rPr>
        <w:t xml:space="preserve"> fortgeschrittene Demenz</w:t>
      </w:r>
      <w:r w:rsidR="00AA6D0B">
        <w:rPr>
          <w:color w:val="auto"/>
        </w:rPr>
        <w:t xml:space="preserve"> (</w:t>
      </w:r>
      <w:r w:rsidR="00AA6D0B" w:rsidRPr="00AA6D0B">
        <w:rPr>
          <w:color w:val="auto"/>
        </w:rPr>
        <w:t xml:space="preserve">MüKoBGB/Spickhoff BGB § 104 </w:t>
      </w:r>
      <w:proofErr w:type="spellStart"/>
      <w:r w:rsidR="00AA6D0B" w:rsidRPr="00AA6D0B">
        <w:rPr>
          <w:color w:val="auto"/>
        </w:rPr>
        <w:t>Rn</w:t>
      </w:r>
      <w:proofErr w:type="spellEnd"/>
      <w:r w:rsidR="00AA6D0B" w:rsidRPr="00AA6D0B">
        <w:rPr>
          <w:color w:val="auto"/>
        </w:rPr>
        <w:t xml:space="preserve">. </w:t>
      </w:r>
      <w:hyperlink r:id="rId8" w:history="1">
        <w:r w:rsidR="00AA6D0B" w:rsidRPr="00620A24">
          <w:rPr>
            <w:rStyle w:val="Hyperlink"/>
            <w:color w:val="688AF8"/>
            <w:u w:val="none"/>
          </w:rPr>
          <w:t>43, 44</w:t>
        </w:r>
      </w:hyperlink>
      <w:r w:rsidR="00AA6D0B">
        <w:rPr>
          <w:color w:val="auto"/>
        </w:rPr>
        <w:t>)</w:t>
      </w:r>
      <w:r w:rsidR="0016141B">
        <w:rPr>
          <w:color w:val="auto"/>
        </w:rPr>
        <w:t xml:space="preserve">. </w:t>
      </w:r>
    </w:p>
    <w:p w14:paraId="3493C773" w14:textId="4CCAB028" w:rsidR="00C817DE" w:rsidRDefault="0016141B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 xml:space="preserve">Als wichtiger Ausnahmefall </w:t>
      </w:r>
      <w:r w:rsidR="00D452F7">
        <w:rPr>
          <w:color w:val="auto"/>
        </w:rPr>
        <w:t xml:space="preserve">sind </w:t>
      </w:r>
      <w:r w:rsidR="00C339A7">
        <w:rPr>
          <w:color w:val="auto"/>
        </w:rPr>
        <w:t>Willenserklärungen</w:t>
      </w:r>
      <w:r w:rsidR="00D452F7">
        <w:rPr>
          <w:color w:val="auto"/>
        </w:rPr>
        <w:t xml:space="preserve">, die in einem </w:t>
      </w:r>
      <w:r w:rsidR="00C817DE" w:rsidRPr="00C10179">
        <w:rPr>
          <w:color w:val="auto"/>
        </w:rPr>
        <w:t xml:space="preserve">sogenannten </w:t>
      </w:r>
      <w:r w:rsidRPr="00620A24">
        <w:rPr>
          <w:i/>
          <w:iCs/>
          <w:color w:val="auto"/>
        </w:rPr>
        <w:t>lichten Augenblick</w:t>
      </w:r>
      <w:r w:rsidRPr="00C10179">
        <w:rPr>
          <w:color w:val="auto"/>
        </w:rPr>
        <w:t xml:space="preserve"> </w:t>
      </w:r>
      <w:r>
        <w:rPr>
          <w:color w:val="auto"/>
        </w:rPr>
        <w:t>(</w:t>
      </w:r>
      <w:proofErr w:type="spellStart"/>
      <w:r w:rsidR="00C817DE" w:rsidRPr="00C10179">
        <w:rPr>
          <w:color w:val="auto"/>
        </w:rPr>
        <w:t>lucidum</w:t>
      </w:r>
      <w:proofErr w:type="spellEnd"/>
      <w:r w:rsidR="00C817DE" w:rsidRPr="00C10179">
        <w:rPr>
          <w:color w:val="auto"/>
        </w:rPr>
        <w:t xml:space="preserve"> </w:t>
      </w:r>
      <w:proofErr w:type="spellStart"/>
      <w:r w:rsidR="00C817DE" w:rsidRPr="00C10179">
        <w:rPr>
          <w:color w:val="auto"/>
        </w:rPr>
        <w:t>interval</w:t>
      </w:r>
      <w:r w:rsidR="00C817DE">
        <w:rPr>
          <w:color w:val="auto"/>
        </w:rPr>
        <w:t>l</w:t>
      </w:r>
      <w:r w:rsidR="00C817DE" w:rsidRPr="00C10179">
        <w:rPr>
          <w:color w:val="auto"/>
        </w:rPr>
        <w:t>um</w:t>
      </w:r>
      <w:proofErr w:type="spellEnd"/>
      <w:r w:rsidR="00C817DE" w:rsidRPr="00C10179">
        <w:rPr>
          <w:color w:val="auto"/>
        </w:rPr>
        <w:t>)</w:t>
      </w:r>
      <w:r w:rsidR="00D452F7">
        <w:rPr>
          <w:color w:val="auto"/>
        </w:rPr>
        <w:t xml:space="preserve"> abgegeben wurden, wirksam. Wenn sich beispielsweise eine demente Person wieder völlig in ihren gesunden Zustand versetzt</w:t>
      </w:r>
      <w:r w:rsidR="004D58FB">
        <w:rPr>
          <w:color w:val="auto"/>
        </w:rPr>
        <w:t>, kann sie für diese Zeit Geschäfte abschließen</w:t>
      </w:r>
      <w:r w:rsidR="00C53086">
        <w:rPr>
          <w:color w:val="auto"/>
        </w:rPr>
        <w:t>!</w:t>
      </w:r>
    </w:p>
    <w:p w14:paraId="300D445A" w14:textId="77777777" w:rsidR="00C53086" w:rsidRDefault="00C53086" w:rsidP="00620A24">
      <w:pPr>
        <w:pStyle w:val="SchemaDefinitionenHeader"/>
        <w:ind w:left="3228"/>
        <w:rPr>
          <w:color w:val="auto"/>
        </w:rPr>
      </w:pPr>
    </w:p>
    <w:p w14:paraId="6CA59016" w14:textId="4F3D218C" w:rsidR="00E76F10" w:rsidRDefault="00360576" w:rsidP="00620A24">
      <w:pPr>
        <w:pStyle w:val="SchemaDefinitionenHeader"/>
        <w:numPr>
          <w:ilvl w:val="3"/>
          <w:numId w:val="36"/>
        </w:numPr>
        <w:rPr>
          <w:color w:val="auto"/>
        </w:rPr>
      </w:pPr>
      <w:r>
        <w:rPr>
          <w:color w:val="auto"/>
        </w:rPr>
        <w:t xml:space="preserve">Sonderfall: </w:t>
      </w:r>
      <w:r w:rsidRPr="00075567">
        <w:rPr>
          <w:i/>
          <w:iCs/>
          <w:color w:val="auto"/>
        </w:rPr>
        <w:t>Partielle Geschäftsunfähigkeit</w:t>
      </w:r>
    </w:p>
    <w:p w14:paraId="09910318" w14:textId="026A8648" w:rsidR="00447E06" w:rsidRDefault="00340C3D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>Auch ist es möglich, dass</w:t>
      </w:r>
      <w:r w:rsidR="00447E06">
        <w:rPr>
          <w:color w:val="auto"/>
        </w:rPr>
        <w:t xml:space="preserve"> eine Person nicht </w:t>
      </w:r>
      <w:r w:rsidR="0071581A">
        <w:rPr>
          <w:color w:val="auto"/>
        </w:rPr>
        <w:t xml:space="preserve">in Bezug auf alle Geschäfte in der freien Willensbildung, sondern </w:t>
      </w:r>
      <w:r>
        <w:rPr>
          <w:color w:val="auto"/>
        </w:rPr>
        <w:t>nur in Bezug auf bestimmte Geschäfte bzw. Geschäftsbereiche</w:t>
      </w:r>
      <w:r w:rsidRPr="00340C3D">
        <w:rPr>
          <w:color w:val="auto"/>
        </w:rPr>
        <w:t xml:space="preserve"> </w:t>
      </w:r>
      <w:r>
        <w:rPr>
          <w:color w:val="auto"/>
        </w:rPr>
        <w:t>beeinträchtigt ist.</w:t>
      </w:r>
    </w:p>
    <w:p w14:paraId="4BAE3CA4" w14:textId="77777777" w:rsidR="00C53086" w:rsidRDefault="00C53086" w:rsidP="00620A24">
      <w:pPr>
        <w:pStyle w:val="SchemaDefinitionenHeader"/>
        <w:ind w:left="3228"/>
        <w:rPr>
          <w:color w:val="auto"/>
        </w:rPr>
      </w:pPr>
    </w:p>
    <w:p w14:paraId="716647ED" w14:textId="77777777" w:rsidR="00C53086" w:rsidRDefault="009C3BB0" w:rsidP="00C53086">
      <w:pPr>
        <w:pStyle w:val="SchemaDefinitionenHeader"/>
        <w:ind w:left="3540"/>
        <w:rPr>
          <w:i/>
          <w:iCs/>
          <w:color w:val="auto"/>
        </w:rPr>
      </w:pPr>
      <w:r w:rsidRPr="00075567">
        <w:rPr>
          <w:i/>
          <w:iCs/>
          <w:color w:val="auto"/>
        </w:rPr>
        <w:t>Beispiel</w:t>
      </w:r>
      <w:r w:rsidR="00707ACA" w:rsidRPr="00075567">
        <w:rPr>
          <w:i/>
          <w:iCs/>
          <w:color w:val="auto"/>
        </w:rPr>
        <w:t>e</w:t>
      </w:r>
      <w:r w:rsidRPr="00075567">
        <w:rPr>
          <w:i/>
          <w:iCs/>
          <w:color w:val="auto"/>
        </w:rPr>
        <w:t xml:space="preserve">: </w:t>
      </w:r>
    </w:p>
    <w:p w14:paraId="2F216072" w14:textId="16D4D57C" w:rsidR="002029F0" w:rsidRDefault="009C3BB0" w:rsidP="00C53086">
      <w:pPr>
        <w:pStyle w:val="SchemaDefinitionenHeader"/>
        <w:ind w:left="3540"/>
        <w:rPr>
          <w:color w:val="auto"/>
        </w:rPr>
      </w:pPr>
      <w:proofErr w:type="spellStart"/>
      <w:r w:rsidRPr="00620A24">
        <w:rPr>
          <w:color w:val="auto"/>
        </w:rPr>
        <w:t>Querulantenwahn</w:t>
      </w:r>
      <w:proofErr w:type="spellEnd"/>
      <w:r w:rsidR="0065229D" w:rsidRPr="00620A24">
        <w:rPr>
          <w:color w:val="auto"/>
        </w:rPr>
        <w:t xml:space="preserve"> schließt die Prozessführ</w:t>
      </w:r>
      <w:r w:rsidR="00AE0672" w:rsidRPr="00620A24">
        <w:rPr>
          <w:color w:val="auto"/>
        </w:rPr>
        <w:t>ung</w:t>
      </w:r>
      <w:r w:rsidR="0065229D" w:rsidRPr="00620A24">
        <w:rPr>
          <w:color w:val="auto"/>
        </w:rPr>
        <w:t xml:space="preserve"> aus</w:t>
      </w:r>
      <w:r w:rsidR="00C53086">
        <w:rPr>
          <w:color w:val="auto"/>
        </w:rPr>
        <w:t>; auch</w:t>
      </w:r>
      <w:r w:rsidR="00707ACA" w:rsidRPr="00620A24">
        <w:rPr>
          <w:color w:val="auto"/>
        </w:rPr>
        <w:t xml:space="preserve"> </w:t>
      </w:r>
      <w:r w:rsidR="00756ADB" w:rsidRPr="00620A24">
        <w:rPr>
          <w:color w:val="auto"/>
        </w:rPr>
        <w:t>krankhafte Eifersucht schließt</w:t>
      </w:r>
      <w:r w:rsidR="00C53086">
        <w:rPr>
          <w:color w:val="auto"/>
        </w:rPr>
        <w:t xml:space="preserve"> die</w:t>
      </w:r>
      <w:r w:rsidR="00756ADB" w:rsidRPr="00620A24">
        <w:rPr>
          <w:color w:val="auto"/>
        </w:rPr>
        <w:t xml:space="preserve"> Prozessführung in Ehestreitigkeiten aus</w:t>
      </w:r>
      <w:r w:rsidR="007B1C54">
        <w:rPr>
          <w:color w:val="auto"/>
        </w:rPr>
        <w:t xml:space="preserve"> (</w:t>
      </w:r>
      <w:bookmarkStart w:id="1" w:name="_Hlk125198604"/>
      <w:r w:rsidR="0036701F" w:rsidRPr="0036701F">
        <w:rPr>
          <w:color w:val="auto"/>
        </w:rPr>
        <w:t xml:space="preserve">BGHZ 18, 184 (186) = NJW 1955, </w:t>
      </w:r>
      <w:hyperlink r:id="rId9" w:history="1">
        <w:r w:rsidR="0036701F" w:rsidRPr="00620A24">
          <w:rPr>
            <w:rStyle w:val="Hyperlink"/>
            <w:color w:val="688AF8"/>
            <w:u w:val="none"/>
          </w:rPr>
          <w:t>1714</w:t>
        </w:r>
      </w:hyperlink>
      <w:bookmarkEnd w:id="1"/>
      <w:r w:rsidR="0036701F">
        <w:rPr>
          <w:color w:val="auto"/>
        </w:rPr>
        <w:t xml:space="preserve">, </w:t>
      </w:r>
      <w:r w:rsidR="0036701F" w:rsidRPr="00AA6D0B">
        <w:rPr>
          <w:color w:val="auto"/>
        </w:rPr>
        <w:t xml:space="preserve">MüKoBGB/Spickhoff BGB § 104 </w:t>
      </w:r>
      <w:proofErr w:type="spellStart"/>
      <w:r w:rsidR="0036701F" w:rsidRPr="00AA6D0B">
        <w:rPr>
          <w:color w:val="auto"/>
        </w:rPr>
        <w:t>Rn</w:t>
      </w:r>
      <w:proofErr w:type="spellEnd"/>
      <w:r w:rsidR="0036701F" w:rsidRPr="00620A24">
        <w:rPr>
          <w:color w:val="688AF8"/>
        </w:rPr>
        <w:t xml:space="preserve">. </w:t>
      </w:r>
      <w:hyperlink r:id="rId10" w:history="1">
        <w:r w:rsidR="0036701F" w:rsidRPr="00620A24">
          <w:rPr>
            <w:rStyle w:val="Hyperlink"/>
            <w:color w:val="688AF8"/>
            <w:u w:val="none"/>
          </w:rPr>
          <w:t>43, 44</w:t>
        </w:r>
      </w:hyperlink>
      <w:r w:rsidR="0036701F">
        <w:rPr>
          <w:color w:val="auto"/>
        </w:rPr>
        <w:t>)</w:t>
      </w:r>
    </w:p>
    <w:p w14:paraId="76CE0E48" w14:textId="77777777" w:rsidR="00C53086" w:rsidRPr="00075567" w:rsidRDefault="00C53086" w:rsidP="00620A24">
      <w:pPr>
        <w:pStyle w:val="SchemaDefinitionenHeader"/>
        <w:ind w:left="3540"/>
        <w:rPr>
          <w:color w:val="auto"/>
        </w:rPr>
      </w:pPr>
    </w:p>
    <w:p w14:paraId="57CF4FA4" w14:textId="1DEF6EF4" w:rsidR="00805215" w:rsidRPr="00620A24" w:rsidRDefault="00805215" w:rsidP="00620A24">
      <w:pPr>
        <w:pStyle w:val="SchemaDefinitionenHeader"/>
        <w:numPr>
          <w:ilvl w:val="0"/>
          <w:numId w:val="34"/>
        </w:numPr>
        <w:rPr>
          <w:i/>
          <w:iCs/>
          <w:color w:val="auto"/>
        </w:rPr>
      </w:pPr>
      <w:r w:rsidRPr="00620A24">
        <w:rPr>
          <w:i/>
          <w:iCs/>
          <w:color w:val="auto"/>
        </w:rPr>
        <w:t xml:space="preserve">§ 105 II BGB: </w:t>
      </w:r>
      <w:r w:rsidR="002029F0" w:rsidRPr="00620A24">
        <w:rPr>
          <w:i/>
          <w:iCs/>
          <w:color w:val="auto"/>
        </w:rPr>
        <w:t>Bewusstlosigkeit oder vorübergehende Störung der Geistestätigkeit</w:t>
      </w:r>
    </w:p>
    <w:p w14:paraId="0C8A33F7" w14:textId="4CD3E2A5" w:rsidR="005B5F65" w:rsidRDefault="00B515F6" w:rsidP="00C53086">
      <w:pPr>
        <w:pStyle w:val="SchemaDefinitionenHeader"/>
        <w:ind w:left="2484"/>
        <w:rPr>
          <w:color w:val="auto"/>
        </w:rPr>
      </w:pPr>
      <w:r w:rsidRPr="00075567">
        <w:rPr>
          <w:color w:val="auto"/>
        </w:rPr>
        <w:t xml:space="preserve">In § 105 II BGB ist ein weiterer Nichtigkeitsgrund einer Willenserklärung geregelt, der aus dem System der </w:t>
      </w:r>
      <w:r w:rsidR="00D54709" w:rsidRPr="00075567">
        <w:rPr>
          <w:color w:val="auto"/>
        </w:rPr>
        <w:t>Geschäftsunfähigkeit</w:t>
      </w:r>
      <w:r w:rsidRPr="00075567">
        <w:rPr>
          <w:color w:val="auto"/>
        </w:rPr>
        <w:t xml:space="preserve"> herausgelöst </w:t>
      </w:r>
      <w:r w:rsidR="000675AE" w:rsidRPr="00075567">
        <w:rPr>
          <w:color w:val="auto"/>
        </w:rPr>
        <w:t xml:space="preserve">ist und im Gegensatz zu </w:t>
      </w:r>
      <w:r w:rsidR="00113076">
        <w:rPr>
          <w:color w:val="auto"/>
        </w:rPr>
        <w:br/>
      </w:r>
      <w:r w:rsidR="000675AE" w:rsidRPr="00075567">
        <w:rPr>
          <w:color w:val="auto"/>
        </w:rPr>
        <w:t>§ 1</w:t>
      </w:r>
      <w:r w:rsidR="00E64B71">
        <w:rPr>
          <w:color w:val="auto"/>
        </w:rPr>
        <w:t>0</w:t>
      </w:r>
      <w:r w:rsidR="000675AE" w:rsidRPr="00075567">
        <w:rPr>
          <w:color w:val="auto"/>
        </w:rPr>
        <w:t xml:space="preserve">4 Nr. 2 </w:t>
      </w:r>
      <w:r w:rsidR="00113076">
        <w:rPr>
          <w:color w:val="auto"/>
        </w:rPr>
        <w:t xml:space="preserve">BGB </w:t>
      </w:r>
      <w:r w:rsidR="00D54709" w:rsidRPr="00075567">
        <w:rPr>
          <w:color w:val="auto"/>
        </w:rPr>
        <w:t>nur einen</w:t>
      </w:r>
      <w:r w:rsidR="000675AE" w:rsidRPr="00075567">
        <w:rPr>
          <w:color w:val="auto"/>
        </w:rPr>
        <w:t xml:space="preserve"> Zustand der Bewusstlosigkeit oder vorübergehender Störung der Geistestätigkeit</w:t>
      </w:r>
      <w:r w:rsidR="00E64B71">
        <w:rPr>
          <w:color w:val="auto"/>
        </w:rPr>
        <w:t xml:space="preserve"> verlangt.</w:t>
      </w:r>
    </w:p>
    <w:p w14:paraId="220A1592" w14:textId="77777777" w:rsidR="00C53086" w:rsidRDefault="00C53086" w:rsidP="00620A24">
      <w:pPr>
        <w:pStyle w:val="SchemaDefinitionenHeader"/>
        <w:ind w:left="2484"/>
        <w:rPr>
          <w:color w:val="auto"/>
        </w:rPr>
      </w:pPr>
    </w:p>
    <w:p w14:paraId="5C2CEAEA" w14:textId="3C080463" w:rsidR="00E64B71" w:rsidRDefault="00E64B71" w:rsidP="00C53086">
      <w:pPr>
        <w:pStyle w:val="SchemaDefinitionenHeader"/>
        <w:ind w:left="2484"/>
        <w:rPr>
          <w:color w:val="auto"/>
        </w:rPr>
      </w:pPr>
      <w:r w:rsidRPr="00620A24">
        <w:rPr>
          <w:i/>
          <w:iCs/>
          <w:color w:val="auto"/>
        </w:rPr>
        <w:lastRenderedPageBreak/>
        <w:t>Merke:</w:t>
      </w:r>
      <w:r>
        <w:rPr>
          <w:color w:val="auto"/>
        </w:rPr>
        <w:t xml:space="preserve"> Personen </w:t>
      </w:r>
      <w:proofErr w:type="spellStart"/>
      <w:r>
        <w:rPr>
          <w:color w:val="auto"/>
        </w:rPr>
        <w:t>i.S.d</w:t>
      </w:r>
      <w:proofErr w:type="spellEnd"/>
      <w:r>
        <w:rPr>
          <w:color w:val="auto"/>
        </w:rPr>
        <w:t>. § 105 II BGB sind nicht generell geschäftsunfähig</w:t>
      </w:r>
      <w:r w:rsidR="002166E3">
        <w:rPr>
          <w:color w:val="auto"/>
        </w:rPr>
        <w:t>.</w:t>
      </w:r>
    </w:p>
    <w:p w14:paraId="0DA9759F" w14:textId="1CB66C76" w:rsidR="00E35801" w:rsidRDefault="00E35801">
      <w:pPr>
        <w:rPr>
          <w:rFonts w:ascii="Open Sans" w:hAnsi="Open Sans" w:cs="Open Sans"/>
          <w:i/>
          <w:iCs/>
        </w:rPr>
      </w:pPr>
    </w:p>
    <w:p w14:paraId="7CC94868" w14:textId="67C50DA6" w:rsidR="000D0407" w:rsidRPr="00075567" w:rsidRDefault="00A221BD" w:rsidP="00620A24">
      <w:pPr>
        <w:pStyle w:val="SchemaDefinitionenHeader"/>
        <w:numPr>
          <w:ilvl w:val="3"/>
          <w:numId w:val="37"/>
        </w:numPr>
        <w:rPr>
          <w:i/>
          <w:iCs/>
          <w:color w:val="auto"/>
        </w:rPr>
      </w:pPr>
      <w:r w:rsidRPr="00075567">
        <w:rPr>
          <w:i/>
          <w:iCs/>
          <w:color w:val="auto"/>
        </w:rPr>
        <w:t>Bewusstlosigkeit</w:t>
      </w:r>
    </w:p>
    <w:p w14:paraId="61221252" w14:textId="605730F0" w:rsidR="00A221BD" w:rsidRDefault="00A221BD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 xml:space="preserve">Bewusstlosigkeit kann schon systematisch nicht Ohnmacht </w:t>
      </w:r>
      <w:r w:rsidR="005F6342">
        <w:rPr>
          <w:color w:val="auto"/>
        </w:rPr>
        <w:t>bedeuten</w:t>
      </w:r>
      <w:r>
        <w:rPr>
          <w:color w:val="auto"/>
        </w:rPr>
        <w:t xml:space="preserve">, da dann </w:t>
      </w:r>
      <w:r w:rsidR="00113076">
        <w:rPr>
          <w:color w:val="auto"/>
        </w:rPr>
        <w:t xml:space="preserve">bereits </w:t>
      </w:r>
      <w:r>
        <w:rPr>
          <w:color w:val="auto"/>
        </w:rPr>
        <w:t xml:space="preserve">mangels Handlungswille keine </w:t>
      </w:r>
      <w:r w:rsidR="005F6342">
        <w:rPr>
          <w:color w:val="auto"/>
        </w:rPr>
        <w:t>Willenserklärung</w:t>
      </w:r>
      <w:r>
        <w:rPr>
          <w:color w:val="auto"/>
        </w:rPr>
        <w:t xml:space="preserve"> vorliegt</w:t>
      </w:r>
      <w:r w:rsidR="002166E3">
        <w:rPr>
          <w:color w:val="auto"/>
        </w:rPr>
        <w:t xml:space="preserve"> (siehe oben).</w:t>
      </w:r>
    </w:p>
    <w:p w14:paraId="67177E7E" w14:textId="77777777" w:rsidR="00C53086" w:rsidRDefault="00C53086" w:rsidP="00620A24">
      <w:pPr>
        <w:pStyle w:val="SchemaDefinitionenHeader"/>
        <w:ind w:left="3228"/>
        <w:rPr>
          <w:color w:val="auto"/>
        </w:rPr>
      </w:pPr>
    </w:p>
    <w:p w14:paraId="73DD4AE0" w14:textId="77777777" w:rsidR="00E35801" w:rsidRDefault="005F6342" w:rsidP="00C53086">
      <w:pPr>
        <w:pStyle w:val="SchemaDefinitionenHeader"/>
        <w:ind w:left="3540"/>
        <w:rPr>
          <w:i/>
          <w:iCs/>
          <w:color w:val="auto"/>
        </w:rPr>
      </w:pPr>
      <w:r w:rsidRPr="00075567">
        <w:rPr>
          <w:i/>
          <w:iCs/>
          <w:color w:val="auto"/>
        </w:rPr>
        <w:t>Beispiele</w:t>
      </w:r>
      <w:r w:rsidR="003402D4" w:rsidRPr="00075567">
        <w:rPr>
          <w:i/>
          <w:iCs/>
          <w:color w:val="auto"/>
        </w:rPr>
        <w:t xml:space="preserve">: </w:t>
      </w:r>
    </w:p>
    <w:p w14:paraId="1EA73FA1" w14:textId="6B4C942C" w:rsidR="003402D4" w:rsidRDefault="00315AEF" w:rsidP="00C53086">
      <w:pPr>
        <w:pStyle w:val="SchemaDefinitionenHeader"/>
        <w:ind w:left="3540"/>
        <w:rPr>
          <w:color w:val="auto"/>
        </w:rPr>
      </w:pPr>
      <w:r w:rsidRPr="00620A24">
        <w:rPr>
          <w:color w:val="auto"/>
        </w:rPr>
        <w:t xml:space="preserve">hochgradige Trunkenheit, </w:t>
      </w:r>
      <w:r w:rsidR="00CA42B4" w:rsidRPr="00620A24">
        <w:rPr>
          <w:color w:val="auto"/>
        </w:rPr>
        <w:t>Fieberdelirium, Hypnose</w:t>
      </w:r>
      <w:r w:rsidR="00CA42B4" w:rsidRPr="00E35801">
        <w:rPr>
          <w:color w:val="auto"/>
        </w:rPr>
        <w:t xml:space="preserve"> </w:t>
      </w:r>
      <w:r w:rsidR="00CA42B4">
        <w:rPr>
          <w:color w:val="auto"/>
        </w:rPr>
        <w:t>(</w:t>
      </w:r>
      <w:r w:rsidR="00CA42B4" w:rsidRPr="00CA42B4">
        <w:rPr>
          <w:color w:val="auto"/>
        </w:rPr>
        <w:t xml:space="preserve">MüKoBGB/Spickhoff BGB § 105 </w:t>
      </w:r>
      <w:proofErr w:type="spellStart"/>
      <w:r w:rsidR="00CA42B4" w:rsidRPr="00CA42B4">
        <w:rPr>
          <w:color w:val="auto"/>
        </w:rPr>
        <w:t>Rn</w:t>
      </w:r>
      <w:proofErr w:type="spellEnd"/>
      <w:r w:rsidR="00CA42B4" w:rsidRPr="00CA42B4">
        <w:rPr>
          <w:color w:val="auto"/>
        </w:rPr>
        <w:t xml:space="preserve">. </w:t>
      </w:r>
      <w:hyperlink r:id="rId11" w:history="1">
        <w:r w:rsidR="00CA42B4" w:rsidRPr="00620A24">
          <w:rPr>
            <w:rStyle w:val="Hyperlink"/>
            <w:color w:val="688AF8"/>
            <w:u w:val="none"/>
          </w:rPr>
          <w:t>38</w:t>
        </w:r>
      </w:hyperlink>
      <w:r w:rsidR="00CA42B4">
        <w:rPr>
          <w:color w:val="auto"/>
        </w:rPr>
        <w:t>)</w:t>
      </w:r>
    </w:p>
    <w:p w14:paraId="6EE8F1ED" w14:textId="77777777" w:rsidR="00C53086" w:rsidRDefault="00C53086" w:rsidP="00620A24">
      <w:pPr>
        <w:pStyle w:val="SchemaDefinitionenHeader"/>
        <w:ind w:left="3540"/>
        <w:rPr>
          <w:color w:val="auto"/>
        </w:rPr>
      </w:pPr>
    </w:p>
    <w:p w14:paraId="779254A1" w14:textId="720C5AE3" w:rsidR="00A221BD" w:rsidRPr="00075567" w:rsidRDefault="00A221BD" w:rsidP="00620A24">
      <w:pPr>
        <w:pStyle w:val="SchemaDefinitionenHeader"/>
        <w:numPr>
          <w:ilvl w:val="3"/>
          <w:numId w:val="37"/>
        </w:numPr>
        <w:rPr>
          <w:i/>
          <w:iCs/>
          <w:color w:val="auto"/>
        </w:rPr>
      </w:pPr>
      <w:r w:rsidRPr="00075567">
        <w:rPr>
          <w:i/>
          <w:iCs/>
          <w:color w:val="auto"/>
        </w:rPr>
        <w:t>Vorübergehende Störung der Geistestätigkeit</w:t>
      </w:r>
    </w:p>
    <w:p w14:paraId="51E89E1D" w14:textId="10F8F596" w:rsidR="00AB6ED6" w:rsidRDefault="00A351E1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>Vom Gehalt her erfassen die Störungen den gleichen Bereich von Zuständen, wie in § 104 Nr. 2</w:t>
      </w:r>
      <w:r w:rsidR="0095474E">
        <w:rPr>
          <w:color w:val="auto"/>
        </w:rPr>
        <w:t xml:space="preserve"> BGB</w:t>
      </w:r>
      <w:r w:rsidR="00113076">
        <w:rPr>
          <w:color w:val="auto"/>
        </w:rPr>
        <w:t>. A</w:t>
      </w:r>
      <w:r w:rsidR="008D2F1A">
        <w:rPr>
          <w:color w:val="auto"/>
        </w:rPr>
        <w:t>bgegrenzt</w:t>
      </w:r>
      <w:r>
        <w:rPr>
          <w:color w:val="auto"/>
        </w:rPr>
        <w:t xml:space="preserve"> werden sie allerdings mit dem </w:t>
      </w:r>
      <w:r w:rsidR="008D2F1A">
        <w:rPr>
          <w:color w:val="auto"/>
        </w:rPr>
        <w:t>Kriterium</w:t>
      </w:r>
      <w:r>
        <w:rPr>
          <w:color w:val="auto"/>
        </w:rPr>
        <w:t xml:space="preserve"> der Dauerhaftigkeit: § 1</w:t>
      </w:r>
      <w:r w:rsidR="00F13003">
        <w:rPr>
          <w:color w:val="auto"/>
        </w:rPr>
        <w:t xml:space="preserve">05 II BGB umfasst mit seiner </w:t>
      </w:r>
      <w:r w:rsidR="008D2F1A">
        <w:rPr>
          <w:color w:val="auto"/>
        </w:rPr>
        <w:t>Rechtsfolge</w:t>
      </w:r>
      <w:r w:rsidR="00F13003">
        <w:rPr>
          <w:color w:val="auto"/>
        </w:rPr>
        <w:t xml:space="preserve"> nur vorübergehende Zustände.</w:t>
      </w:r>
    </w:p>
    <w:p w14:paraId="307A8ECA" w14:textId="77777777" w:rsidR="00C53086" w:rsidRDefault="00C53086" w:rsidP="00620A24">
      <w:pPr>
        <w:pStyle w:val="SchemaDefinitionenHeader"/>
        <w:ind w:left="3228"/>
        <w:rPr>
          <w:color w:val="auto"/>
        </w:rPr>
      </w:pPr>
    </w:p>
    <w:p w14:paraId="7239D19C" w14:textId="77777777" w:rsidR="00E35801" w:rsidRDefault="00F13003" w:rsidP="00C53086">
      <w:pPr>
        <w:pStyle w:val="SchemaDefinitionenHeader"/>
        <w:ind w:left="3540"/>
        <w:rPr>
          <w:i/>
          <w:iCs/>
          <w:color w:val="auto"/>
        </w:rPr>
      </w:pPr>
      <w:r w:rsidRPr="00075567">
        <w:rPr>
          <w:i/>
          <w:iCs/>
          <w:color w:val="auto"/>
        </w:rPr>
        <w:t xml:space="preserve">Beispiel: </w:t>
      </w:r>
    </w:p>
    <w:p w14:paraId="2CD1C4BB" w14:textId="1D76D0ED" w:rsidR="00F13003" w:rsidRDefault="00F13003" w:rsidP="00C53086">
      <w:pPr>
        <w:pStyle w:val="SchemaDefinitionenHeader"/>
        <w:ind w:left="3540"/>
        <w:rPr>
          <w:color w:val="auto"/>
        </w:rPr>
      </w:pPr>
      <w:r w:rsidRPr="00620A24">
        <w:rPr>
          <w:color w:val="auto"/>
        </w:rPr>
        <w:t>Durch Alkohol oder Drogen indizierte Zustände</w:t>
      </w:r>
      <w:r>
        <w:rPr>
          <w:color w:val="auto"/>
        </w:rPr>
        <w:t xml:space="preserve"> (</w:t>
      </w:r>
      <w:r w:rsidRPr="00CA42B4">
        <w:rPr>
          <w:color w:val="auto"/>
        </w:rPr>
        <w:t xml:space="preserve">MüKoBGB/Spickhoff BGB § 105 </w:t>
      </w:r>
      <w:proofErr w:type="spellStart"/>
      <w:r w:rsidRPr="00CA42B4">
        <w:rPr>
          <w:color w:val="auto"/>
        </w:rPr>
        <w:t>Rn</w:t>
      </w:r>
      <w:proofErr w:type="spellEnd"/>
      <w:r w:rsidRPr="00CA42B4">
        <w:rPr>
          <w:color w:val="auto"/>
        </w:rPr>
        <w:t xml:space="preserve">. </w:t>
      </w:r>
      <w:hyperlink r:id="rId12" w:anchor="FNID0EUSNBB" w:history="1">
        <w:r w:rsidRPr="00620A24">
          <w:rPr>
            <w:rStyle w:val="Hyperlink"/>
            <w:color w:val="688AF8"/>
            <w:u w:val="none"/>
          </w:rPr>
          <w:t>41</w:t>
        </w:r>
      </w:hyperlink>
      <w:r w:rsidR="008D2F1A">
        <w:rPr>
          <w:color w:val="auto"/>
        </w:rPr>
        <w:t>)</w:t>
      </w:r>
    </w:p>
    <w:p w14:paraId="651E8521" w14:textId="77777777" w:rsidR="00C53086" w:rsidRDefault="00C53086" w:rsidP="00620A24">
      <w:pPr>
        <w:pStyle w:val="SchemaDefinitionenHeader"/>
        <w:ind w:left="3540"/>
        <w:rPr>
          <w:color w:val="auto"/>
        </w:rPr>
      </w:pPr>
    </w:p>
    <w:p w14:paraId="23DF15AC" w14:textId="30BC0EBF" w:rsidR="0095474E" w:rsidRPr="00620A24" w:rsidRDefault="0095474E" w:rsidP="00620A24">
      <w:pPr>
        <w:pStyle w:val="SchemaDefinitionenHeader"/>
        <w:numPr>
          <w:ilvl w:val="0"/>
          <w:numId w:val="34"/>
        </w:numPr>
        <w:rPr>
          <w:i/>
          <w:iCs/>
          <w:color w:val="auto"/>
        </w:rPr>
      </w:pPr>
      <w:r w:rsidRPr="00620A24">
        <w:rPr>
          <w:i/>
          <w:iCs/>
          <w:color w:val="auto"/>
        </w:rPr>
        <w:t>Kein Geschäft des täglichen Lebens, § 105a BGB</w:t>
      </w:r>
    </w:p>
    <w:p w14:paraId="54EC4766" w14:textId="77777777" w:rsidR="00E35801" w:rsidRDefault="00EB2F5B" w:rsidP="00C53086">
      <w:pPr>
        <w:pStyle w:val="SchemaDefinitionenHeader"/>
        <w:ind w:left="2484"/>
        <w:rPr>
          <w:color w:val="auto"/>
        </w:rPr>
      </w:pPr>
      <w:r>
        <w:rPr>
          <w:color w:val="auto"/>
        </w:rPr>
        <w:t>Die Rechtsfolge des § 105a BGB ist umstritten, aber nicht hochgradig prüfungsrelevant. Überzeugend kann davon ausgegangen werden, dass der</w:t>
      </w:r>
      <w:r w:rsidR="000574B6">
        <w:rPr>
          <w:color w:val="auto"/>
        </w:rPr>
        <w:t xml:space="preserve"> Vertrag nicht von Anfang an wirksam</w:t>
      </w:r>
      <w:r w:rsidRPr="00EB2F5B">
        <w:rPr>
          <w:color w:val="auto"/>
        </w:rPr>
        <w:t xml:space="preserve"> </w:t>
      </w:r>
      <w:r>
        <w:rPr>
          <w:color w:val="auto"/>
        </w:rPr>
        <w:t>wird</w:t>
      </w:r>
      <w:r w:rsidR="000574B6">
        <w:rPr>
          <w:color w:val="auto"/>
        </w:rPr>
        <w:t xml:space="preserve">, sondern </w:t>
      </w:r>
      <w:r w:rsidR="0046080A">
        <w:rPr>
          <w:color w:val="auto"/>
        </w:rPr>
        <w:t xml:space="preserve">lediglich ex </w:t>
      </w:r>
      <w:proofErr w:type="spellStart"/>
      <w:r w:rsidR="0046080A">
        <w:rPr>
          <w:color w:val="auto"/>
        </w:rPr>
        <w:t>nunc</w:t>
      </w:r>
      <w:proofErr w:type="spellEnd"/>
      <w:r w:rsidR="0046080A">
        <w:rPr>
          <w:color w:val="auto"/>
        </w:rPr>
        <w:t xml:space="preserve"> in Ansehung von Leistung und Gegenleistung als wirksam</w:t>
      </w:r>
      <w:r w:rsidRPr="00EB2F5B">
        <w:rPr>
          <w:color w:val="auto"/>
        </w:rPr>
        <w:t xml:space="preserve"> </w:t>
      </w:r>
      <w:r w:rsidRPr="00075567">
        <w:rPr>
          <w:i/>
          <w:iCs/>
          <w:color w:val="auto"/>
        </w:rPr>
        <w:t>gilt</w:t>
      </w:r>
      <w:r w:rsidR="0046080A">
        <w:rPr>
          <w:color w:val="auto"/>
        </w:rPr>
        <w:t xml:space="preserve">. </w:t>
      </w:r>
    </w:p>
    <w:p w14:paraId="0CE201F2" w14:textId="77777777" w:rsidR="001F6B7A" w:rsidRDefault="0046080A" w:rsidP="00C53086">
      <w:pPr>
        <w:pStyle w:val="SchemaDefinitionenHeader"/>
        <w:ind w:left="2484"/>
        <w:rPr>
          <w:color w:val="auto"/>
        </w:rPr>
      </w:pPr>
      <w:r>
        <w:rPr>
          <w:color w:val="auto"/>
        </w:rPr>
        <w:t>So kann eine Rückforderung ausgeschlossen werden</w:t>
      </w:r>
      <w:r w:rsidR="00EB2F5B">
        <w:rPr>
          <w:color w:val="auto"/>
        </w:rPr>
        <w:t xml:space="preserve">, </w:t>
      </w:r>
      <w:r w:rsidR="007620E1">
        <w:rPr>
          <w:color w:val="auto"/>
        </w:rPr>
        <w:t>aber Mängelgewährleistungsrechte stehen dem Geschäftsunfähigen nicht zu</w:t>
      </w:r>
      <w:r>
        <w:rPr>
          <w:color w:val="auto"/>
        </w:rPr>
        <w:t xml:space="preserve">. </w:t>
      </w:r>
    </w:p>
    <w:p w14:paraId="45E67C44" w14:textId="53E82BB8" w:rsidR="00066AFB" w:rsidRDefault="007620E1" w:rsidP="00C53086">
      <w:pPr>
        <w:pStyle w:val="SchemaDefinitionenHeader"/>
        <w:ind w:left="2484"/>
        <w:rPr>
          <w:color w:val="auto"/>
        </w:rPr>
      </w:pPr>
      <w:r>
        <w:rPr>
          <w:color w:val="auto"/>
        </w:rPr>
        <w:lastRenderedPageBreak/>
        <w:t>Dafür spricht systematisch, dass es</w:t>
      </w:r>
      <w:r w:rsidR="0046080A">
        <w:rPr>
          <w:color w:val="auto"/>
        </w:rPr>
        <w:t xml:space="preserve"> nicht zu der wirksamen Abgabe einer Willenserklärung des Geschäftsunfähigen kommen</w:t>
      </w:r>
      <w:r w:rsidR="00CA5BF9">
        <w:rPr>
          <w:color w:val="auto"/>
        </w:rPr>
        <w:t xml:space="preserve"> </w:t>
      </w:r>
      <w:r>
        <w:rPr>
          <w:color w:val="auto"/>
        </w:rPr>
        <w:t xml:space="preserve">soll </w:t>
      </w:r>
      <w:r w:rsidR="00021C08">
        <w:rPr>
          <w:color w:val="auto"/>
        </w:rPr>
        <w:t>(</w:t>
      </w:r>
      <w:r w:rsidR="00CA5BF9" w:rsidRPr="00737372">
        <w:rPr>
          <w:color w:val="auto"/>
        </w:rPr>
        <w:t xml:space="preserve">Jauernig/Mansel BGB § 105a </w:t>
      </w:r>
      <w:proofErr w:type="spellStart"/>
      <w:r w:rsidR="00CA5BF9" w:rsidRPr="00737372">
        <w:rPr>
          <w:color w:val="auto"/>
        </w:rPr>
        <w:t>Rn</w:t>
      </w:r>
      <w:proofErr w:type="spellEnd"/>
      <w:r w:rsidR="00CA5BF9" w:rsidRPr="00737372">
        <w:rPr>
          <w:color w:val="auto"/>
        </w:rPr>
        <w:t xml:space="preserve">. </w:t>
      </w:r>
      <w:hyperlink r:id="rId13" w:history="1">
        <w:r w:rsidR="003D4DBD" w:rsidRPr="00620A24">
          <w:rPr>
            <w:rStyle w:val="Hyperlink"/>
            <w:color w:val="688AF8"/>
            <w:u w:val="none"/>
          </w:rPr>
          <w:t>6</w:t>
        </w:r>
      </w:hyperlink>
      <w:r w:rsidR="003D4DBD">
        <w:rPr>
          <w:color w:val="auto"/>
        </w:rPr>
        <w:t>)</w:t>
      </w:r>
      <w:r>
        <w:rPr>
          <w:color w:val="auto"/>
        </w:rPr>
        <w:t>.</w:t>
      </w:r>
    </w:p>
    <w:p w14:paraId="2E8D22E6" w14:textId="27E5DBC9" w:rsidR="00E35801" w:rsidRDefault="00E35801">
      <w:pPr>
        <w:rPr>
          <w:rFonts w:ascii="Open Sans" w:hAnsi="Open Sans" w:cs="Open Sans"/>
        </w:rPr>
      </w:pPr>
    </w:p>
    <w:p w14:paraId="7AD99677" w14:textId="51E73946" w:rsidR="00F205F8" w:rsidRDefault="00F205F8" w:rsidP="00620A24">
      <w:pPr>
        <w:pStyle w:val="SchemaDefinitionenHeader"/>
        <w:ind w:left="2124" w:firstLine="360"/>
        <w:rPr>
          <w:color w:val="auto"/>
        </w:rPr>
      </w:pPr>
      <w:r>
        <w:rPr>
          <w:color w:val="auto"/>
        </w:rPr>
        <w:t>Dafür müssen vorliegen:</w:t>
      </w:r>
    </w:p>
    <w:p w14:paraId="33CA494D" w14:textId="247506CB" w:rsidR="00F205F8" w:rsidRDefault="00F205F8" w:rsidP="00E35801">
      <w:pPr>
        <w:pStyle w:val="SchemaDefinitionenHeader"/>
        <w:numPr>
          <w:ilvl w:val="3"/>
          <w:numId w:val="38"/>
        </w:numPr>
        <w:rPr>
          <w:color w:val="auto"/>
        </w:rPr>
      </w:pPr>
      <w:r w:rsidRPr="00075567">
        <w:rPr>
          <w:i/>
          <w:iCs/>
          <w:color w:val="auto"/>
        </w:rPr>
        <w:t>Ein volljähriger Geschäftsunfähiger</w:t>
      </w:r>
      <w:r w:rsidR="00CD5A13">
        <w:rPr>
          <w:color w:val="auto"/>
        </w:rPr>
        <w:t xml:space="preserve">, </w:t>
      </w:r>
      <w:r w:rsidR="00E35801">
        <w:rPr>
          <w:color w:val="auto"/>
        </w:rPr>
        <w:t>v</w:t>
      </w:r>
      <w:r w:rsidR="00CD5A13">
        <w:rPr>
          <w:color w:val="auto"/>
        </w:rPr>
        <w:t>gl. § 2 BGB</w:t>
      </w:r>
    </w:p>
    <w:p w14:paraId="71F01DC6" w14:textId="77777777" w:rsidR="00113076" w:rsidRPr="00113076" w:rsidRDefault="00113076" w:rsidP="00620A24">
      <w:pPr>
        <w:pStyle w:val="SchemaDefinitionenHeader"/>
        <w:ind w:left="3228"/>
        <w:rPr>
          <w:color w:val="auto"/>
        </w:rPr>
      </w:pPr>
    </w:p>
    <w:p w14:paraId="13DB0098" w14:textId="3917805C" w:rsidR="00F205F8" w:rsidRPr="00075567" w:rsidRDefault="0019680A" w:rsidP="00620A24">
      <w:pPr>
        <w:pStyle w:val="SchemaDefinitionenHeader"/>
        <w:numPr>
          <w:ilvl w:val="3"/>
          <w:numId w:val="38"/>
        </w:numPr>
        <w:rPr>
          <w:i/>
          <w:iCs/>
          <w:color w:val="auto"/>
        </w:rPr>
      </w:pPr>
      <w:r w:rsidRPr="00075567">
        <w:rPr>
          <w:i/>
          <w:iCs/>
          <w:color w:val="auto"/>
        </w:rPr>
        <w:t>Ein Geschäft des täglichen Lebens</w:t>
      </w:r>
    </w:p>
    <w:p w14:paraId="313B9173" w14:textId="72193C9A" w:rsidR="00C53086" w:rsidRDefault="00810B3F" w:rsidP="00C53086">
      <w:pPr>
        <w:pStyle w:val="SchemaDefinitionenHeader"/>
        <w:ind w:left="3228"/>
        <w:rPr>
          <w:i/>
          <w:iCs/>
          <w:color w:val="auto"/>
        </w:rPr>
      </w:pPr>
      <w:r>
        <w:rPr>
          <w:color w:val="auto"/>
        </w:rPr>
        <w:t xml:space="preserve">Ein solches wird nach der Verkehrsauffassung betrachtet, nicht nach den individuellen </w:t>
      </w:r>
      <w:r w:rsidR="00965394">
        <w:rPr>
          <w:color w:val="auto"/>
        </w:rPr>
        <w:t>täglichen Gewohnheiten</w:t>
      </w:r>
      <w:r>
        <w:rPr>
          <w:color w:val="auto"/>
        </w:rPr>
        <w:t xml:space="preserve"> des Geschäftsunfähigen</w:t>
      </w:r>
      <w:r w:rsidR="00CA39CE">
        <w:rPr>
          <w:color w:val="auto"/>
        </w:rPr>
        <w:t>.</w:t>
      </w:r>
      <w:r w:rsidR="006A1580">
        <w:rPr>
          <w:color w:val="auto"/>
        </w:rPr>
        <w:t xml:space="preserve"> Insbesondere </w:t>
      </w:r>
      <w:r w:rsidR="00703C8E">
        <w:rPr>
          <w:color w:val="auto"/>
        </w:rPr>
        <w:t>Gegenstände</w:t>
      </w:r>
      <w:r w:rsidR="006A1580">
        <w:rPr>
          <w:color w:val="auto"/>
        </w:rPr>
        <w:t xml:space="preserve"> des täglichen Bedarfs sind erfasst (</w:t>
      </w:r>
      <w:r w:rsidR="00703C8E" w:rsidRPr="00703C8E">
        <w:rPr>
          <w:color w:val="auto"/>
        </w:rPr>
        <w:t xml:space="preserve">MüKoBGB/Spickhoff BGB </w:t>
      </w:r>
      <w:r w:rsidR="00E35801">
        <w:rPr>
          <w:color w:val="auto"/>
        </w:rPr>
        <w:br/>
      </w:r>
      <w:r w:rsidR="00703C8E" w:rsidRPr="00703C8E">
        <w:rPr>
          <w:color w:val="auto"/>
        </w:rPr>
        <w:t xml:space="preserve">§ 105a </w:t>
      </w:r>
      <w:proofErr w:type="spellStart"/>
      <w:r w:rsidR="00703C8E" w:rsidRPr="00703C8E">
        <w:rPr>
          <w:color w:val="auto"/>
        </w:rPr>
        <w:t>Rn</w:t>
      </w:r>
      <w:proofErr w:type="spellEnd"/>
      <w:r w:rsidR="00703C8E" w:rsidRPr="00703C8E">
        <w:rPr>
          <w:color w:val="auto"/>
        </w:rPr>
        <w:t xml:space="preserve">. </w:t>
      </w:r>
      <w:hyperlink r:id="rId14" w:history="1">
        <w:r w:rsidR="00703C8E" w:rsidRPr="00620A24">
          <w:rPr>
            <w:rStyle w:val="Hyperlink"/>
            <w:color w:val="688AF8"/>
            <w:u w:val="none"/>
          </w:rPr>
          <w:t>6</w:t>
        </w:r>
      </w:hyperlink>
      <w:r w:rsidR="00703C8E">
        <w:rPr>
          <w:color w:val="auto"/>
        </w:rPr>
        <w:t>).</w:t>
      </w:r>
    </w:p>
    <w:p w14:paraId="5A5B33F9" w14:textId="77777777" w:rsidR="00C53086" w:rsidRDefault="00C53086" w:rsidP="00620A24">
      <w:pPr>
        <w:pStyle w:val="SchemaDefinitionenHeader"/>
        <w:ind w:left="3228"/>
        <w:rPr>
          <w:color w:val="auto"/>
        </w:rPr>
      </w:pPr>
    </w:p>
    <w:p w14:paraId="37A56F9A" w14:textId="77777777" w:rsidR="00C53086" w:rsidRDefault="00CA39CE" w:rsidP="00C53086">
      <w:pPr>
        <w:pStyle w:val="SchemaDefinitionenHeader"/>
        <w:ind w:left="3540"/>
        <w:rPr>
          <w:i/>
          <w:iCs/>
          <w:color w:val="auto"/>
        </w:rPr>
      </w:pPr>
      <w:r w:rsidRPr="00075567">
        <w:rPr>
          <w:i/>
          <w:iCs/>
          <w:color w:val="auto"/>
        </w:rPr>
        <w:t>Beispiele:</w:t>
      </w:r>
      <w:r w:rsidR="003B5AEA" w:rsidRPr="00075567">
        <w:rPr>
          <w:i/>
          <w:iCs/>
          <w:color w:val="auto"/>
        </w:rPr>
        <w:t xml:space="preserve"> </w:t>
      </w:r>
    </w:p>
    <w:p w14:paraId="7657B2E2" w14:textId="24029AD4" w:rsidR="00CA39CE" w:rsidRPr="00620A24" w:rsidRDefault="003B5AEA" w:rsidP="00C53086">
      <w:pPr>
        <w:pStyle w:val="SchemaDefinitionenHeader"/>
        <w:ind w:left="3540"/>
        <w:rPr>
          <w:color w:val="auto"/>
        </w:rPr>
      </w:pPr>
      <w:r w:rsidRPr="00620A24">
        <w:rPr>
          <w:color w:val="auto"/>
        </w:rPr>
        <w:t>Lebensmitteleinkauf, Drogeriewaren</w:t>
      </w:r>
      <w:r w:rsidR="0098747A" w:rsidRPr="00620A24">
        <w:rPr>
          <w:color w:val="auto"/>
        </w:rPr>
        <w:t>, Bahnticket, Zeitungskauf</w:t>
      </w:r>
    </w:p>
    <w:p w14:paraId="12FA8C10" w14:textId="77777777" w:rsidR="00C53086" w:rsidRPr="00075567" w:rsidRDefault="00C53086" w:rsidP="00620A24">
      <w:pPr>
        <w:pStyle w:val="SchemaDefinitionenHeader"/>
        <w:ind w:left="3540"/>
        <w:rPr>
          <w:i/>
          <w:iCs/>
          <w:color w:val="auto"/>
        </w:rPr>
      </w:pPr>
    </w:p>
    <w:p w14:paraId="62A4FC3E" w14:textId="5A4AA14C" w:rsidR="0019680A" w:rsidRPr="00075567" w:rsidRDefault="0019680A" w:rsidP="00620A24">
      <w:pPr>
        <w:pStyle w:val="SchemaDefinitionenHeader"/>
        <w:numPr>
          <w:ilvl w:val="3"/>
          <w:numId w:val="39"/>
        </w:numPr>
        <w:rPr>
          <w:i/>
          <w:iCs/>
          <w:color w:val="auto"/>
        </w:rPr>
      </w:pPr>
      <w:r w:rsidRPr="00075567">
        <w:rPr>
          <w:i/>
          <w:iCs/>
          <w:color w:val="auto"/>
        </w:rPr>
        <w:t>Geringwertige Mittel</w:t>
      </w:r>
    </w:p>
    <w:p w14:paraId="3876B363" w14:textId="58C8883C" w:rsidR="00737372" w:rsidRDefault="00965394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 xml:space="preserve">Auch die Geringwertigkeit wird objektiv, nicht subjektiv an der Vermögenslage des </w:t>
      </w:r>
      <w:r w:rsidR="00113076">
        <w:rPr>
          <w:color w:val="auto"/>
        </w:rPr>
        <w:t>G</w:t>
      </w:r>
      <w:r>
        <w:rPr>
          <w:color w:val="auto"/>
        </w:rPr>
        <w:t>eschäftsunfähigen betrachtet</w:t>
      </w:r>
      <w:r w:rsidR="00737372">
        <w:rPr>
          <w:color w:val="auto"/>
        </w:rPr>
        <w:t>, das heißt</w:t>
      </w:r>
      <w:r w:rsidR="00ED7A59">
        <w:rPr>
          <w:color w:val="auto"/>
        </w:rPr>
        <w:t>,</w:t>
      </w:r>
      <w:r w:rsidR="00737372">
        <w:rPr>
          <w:color w:val="auto"/>
        </w:rPr>
        <w:t xml:space="preserve"> dass das durchschnittliche Preis- und Einkommensniveau herangezogen </w:t>
      </w:r>
      <w:r w:rsidR="00113076">
        <w:rPr>
          <w:color w:val="auto"/>
        </w:rPr>
        <w:t xml:space="preserve">wird </w:t>
      </w:r>
      <w:r w:rsidR="00737372">
        <w:rPr>
          <w:color w:val="auto"/>
        </w:rPr>
        <w:t>(</w:t>
      </w:r>
      <w:r w:rsidR="00737372" w:rsidRPr="00737372">
        <w:rPr>
          <w:color w:val="auto"/>
        </w:rPr>
        <w:t xml:space="preserve">Jauernig/Mansel BGB § 105a </w:t>
      </w:r>
      <w:proofErr w:type="spellStart"/>
      <w:r w:rsidR="00737372" w:rsidRPr="00737372">
        <w:rPr>
          <w:color w:val="auto"/>
        </w:rPr>
        <w:t>Rn</w:t>
      </w:r>
      <w:proofErr w:type="spellEnd"/>
      <w:r w:rsidR="00737372" w:rsidRPr="00737372">
        <w:rPr>
          <w:color w:val="auto"/>
        </w:rPr>
        <w:t xml:space="preserve">. </w:t>
      </w:r>
      <w:hyperlink r:id="rId15" w:history="1">
        <w:r w:rsidR="00737372" w:rsidRPr="00620A24">
          <w:rPr>
            <w:rStyle w:val="Hyperlink"/>
            <w:color w:val="688AF8"/>
            <w:u w:val="none"/>
          </w:rPr>
          <w:t>5</w:t>
        </w:r>
      </w:hyperlink>
      <w:r w:rsidR="00737372">
        <w:rPr>
          <w:color w:val="auto"/>
        </w:rPr>
        <w:t>).</w:t>
      </w:r>
    </w:p>
    <w:p w14:paraId="10462DCF" w14:textId="77777777" w:rsidR="00C53086" w:rsidRDefault="00C53086" w:rsidP="00620A24">
      <w:pPr>
        <w:pStyle w:val="SchemaDefinitionenHeader"/>
        <w:ind w:left="3228"/>
        <w:rPr>
          <w:color w:val="auto"/>
        </w:rPr>
      </w:pPr>
    </w:p>
    <w:p w14:paraId="2211946C" w14:textId="77777777" w:rsidR="00C53086" w:rsidRDefault="00737372" w:rsidP="00C53086">
      <w:pPr>
        <w:pStyle w:val="SchemaDefinitionenHeader"/>
        <w:ind w:left="3540"/>
        <w:rPr>
          <w:i/>
          <w:iCs/>
          <w:color w:val="auto"/>
        </w:rPr>
      </w:pPr>
      <w:r w:rsidRPr="00075567">
        <w:rPr>
          <w:i/>
          <w:iCs/>
          <w:color w:val="auto"/>
        </w:rPr>
        <w:t xml:space="preserve">Beispiel: </w:t>
      </w:r>
    </w:p>
    <w:p w14:paraId="0F5BB31C" w14:textId="60BCA0D0" w:rsidR="00965394" w:rsidRPr="00620A24" w:rsidRDefault="00737372" w:rsidP="00C53086">
      <w:pPr>
        <w:pStyle w:val="SchemaDefinitionenHeader"/>
        <w:ind w:left="3540"/>
        <w:rPr>
          <w:color w:val="auto"/>
        </w:rPr>
      </w:pPr>
      <w:r w:rsidRPr="00620A24">
        <w:rPr>
          <w:color w:val="auto"/>
        </w:rPr>
        <w:t xml:space="preserve">So ist selbst für einen geschäftsunfähigen Milliardär der </w:t>
      </w:r>
      <w:r w:rsidR="00414465" w:rsidRPr="00620A24">
        <w:rPr>
          <w:color w:val="auto"/>
        </w:rPr>
        <w:t>K</w:t>
      </w:r>
      <w:r w:rsidRPr="00620A24">
        <w:rPr>
          <w:color w:val="auto"/>
        </w:rPr>
        <w:t>auf einer Playstation nicht geringwertig</w:t>
      </w:r>
      <w:r w:rsidR="00C53086" w:rsidRPr="00620A24">
        <w:rPr>
          <w:color w:val="auto"/>
        </w:rPr>
        <w:t>.</w:t>
      </w:r>
    </w:p>
    <w:p w14:paraId="3F722B3F" w14:textId="77777777" w:rsidR="00C53086" w:rsidRPr="00075567" w:rsidRDefault="00C53086" w:rsidP="00620A24">
      <w:pPr>
        <w:pStyle w:val="SchemaDefinitionenHeader"/>
        <w:ind w:left="3540"/>
        <w:rPr>
          <w:i/>
          <w:iCs/>
          <w:color w:val="auto"/>
        </w:rPr>
      </w:pPr>
    </w:p>
    <w:p w14:paraId="4ECE1DC6" w14:textId="667EF412" w:rsidR="0019680A" w:rsidRPr="00075567" w:rsidRDefault="0019680A" w:rsidP="00620A24">
      <w:pPr>
        <w:pStyle w:val="SchemaDefinitionenHeader"/>
        <w:numPr>
          <w:ilvl w:val="3"/>
          <w:numId w:val="40"/>
        </w:numPr>
        <w:rPr>
          <w:i/>
          <w:iCs/>
          <w:color w:val="auto"/>
        </w:rPr>
      </w:pPr>
      <w:r w:rsidRPr="00075567">
        <w:rPr>
          <w:i/>
          <w:iCs/>
          <w:color w:val="auto"/>
        </w:rPr>
        <w:t xml:space="preserve">Bewirken der Verpflichtung des </w:t>
      </w:r>
      <w:r w:rsidR="00737372" w:rsidRPr="00075567">
        <w:rPr>
          <w:i/>
          <w:iCs/>
          <w:color w:val="auto"/>
        </w:rPr>
        <w:t>G</w:t>
      </w:r>
      <w:r w:rsidRPr="00075567">
        <w:rPr>
          <w:i/>
          <w:iCs/>
          <w:color w:val="auto"/>
        </w:rPr>
        <w:t>eschäftsunfähigen</w:t>
      </w:r>
    </w:p>
    <w:p w14:paraId="47B8181E" w14:textId="201F5179" w:rsidR="004D526D" w:rsidRDefault="00E35801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>Eine zentrale, nicht zu übersehende Voraussetzung</w:t>
      </w:r>
      <w:r w:rsidR="004D526D">
        <w:rPr>
          <w:color w:val="auto"/>
        </w:rPr>
        <w:t xml:space="preserve"> ist, dass erst mit </w:t>
      </w:r>
      <w:r w:rsidR="004D526D" w:rsidRPr="00620A24">
        <w:rPr>
          <w:i/>
          <w:iCs/>
          <w:color w:val="auto"/>
        </w:rPr>
        <w:t>Bewirken</w:t>
      </w:r>
      <w:r w:rsidR="004D526D">
        <w:rPr>
          <w:color w:val="auto"/>
        </w:rPr>
        <w:t xml:space="preserve"> der Leistung die Wirksamkeit des Vertrages eintritt. </w:t>
      </w:r>
      <w:r w:rsidR="00437858">
        <w:rPr>
          <w:color w:val="auto"/>
        </w:rPr>
        <w:t>Dafür ist die Hauptleistungspflicht</w:t>
      </w:r>
      <w:r w:rsidR="00CD4A9B">
        <w:rPr>
          <w:color w:val="auto"/>
        </w:rPr>
        <w:t xml:space="preserve"> des </w:t>
      </w:r>
      <w:r w:rsidR="00414465">
        <w:rPr>
          <w:color w:val="auto"/>
        </w:rPr>
        <w:lastRenderedPageBreak/>
        <w:t>G</w:t>
      </w:r>
      <w:r w:rsidR="00CD4A9B">
        <w:rPr>
          <w:color w:val="auto"/>
        </w:rPr>
        <w:t xml:space="preserve">eschäftsunfähigen zu identifizieren und zu prüfen, ob </w:t>
      </w:r>
      <w:r w:rsidR="0068283A">
        <w:rPr>
          <w:color w:val="auto"/>
        </w:rPr>
        <w:t xml:space="preserve">diese Pflicht </w:t>
      </w:r>
      <w:r w:rsidR="00CD4A9B">
        <w:rPr>
          <w:color w:val="auto"/>
        </w:rPr>
        <w:t>erfüllt wurde.</w:t>
      </w:r>
    </w:p>
    <w:p w14:paraId="0654AB82" w14:textId="7AFF679F" w:rsidR="00E35801" w:rsidRDefault="00E35801">
      <w:pPr>
        <w:rPr>
          <w:rFonts w:ascii="Open Sans" w:hAnsi="Open Sans" w:cs="Open Sans"/>
          <w:i/>
          <w:iCs/>
        </w:rPr>
      </w:pPr>
    </w:p>
    <w:p w14:paraId="50A1F2F0" w14:textId="57EBA639" w:rsidR="0019680A" w:rsidRPr="00075567" w:rsidRDefault="0019680A" w:rsidP="00620A24">
      <w:pPr>
        <w:pStyle w:val="SchemaDefinitionenHeader"/>
        <w:numPr>
          <w:ilvl w:val="3"/>
          <w:numId w:val="41"/>
        </w:numPr>
        <w:rPr>
          <w:i/>
          <w:iCs/>
          <w:color w:val="auto"/>
        </w:rPr>
      </w:pPr>
      <w:r w:rsidRPr="00075567">
        <w:rPr>
          <w:i/>
          <w:iCs/>
          <w:color w:val="auto"/>
        </w:rPr>
        <w:t xml:space="preserve">Keine erhebliche Gefahr </w:t>
      </w:r>
      <w:r w:rsidR="008D2C70" w:rsidRPr="00075567">
        <w:rPr>
          <w:i/>
          <w:iCs/>
          <w:color w:val="auto"/>
        </w:rPr>
        <w:t>für den Geschäftsunfähigen oder dessen Vermögen</w:t>
      </w:r>
    </w:p>
    <w:p w14:paraId="329B6E3E" w14:textId="23DCF177" w:rsidR="009B5795" w:rsidRDefault="0057216A" w:rsidP="00C53086">
      <w:pPr>
        <w:pStyle w:val="SchemaDefinitionenHeader"/>
        <w:ind w:left="3228"/>
        <w:rPr>
          <w:color w:val="auto"/>
        </w:rPr>
      </w:pPr>
      <w:r>
        <w:rPr>
          <w:color w:val="auto"/>
        </w:rPr>
        <w:t xml:space="preserve">Der Begriff der Gefahr wird </w:t>
      </w:r>
      <w:r w:rsidR="000D77BB">
        <w:rPr>
          <w:color w:val="auto"/>
        </w:rPr>
        <w:t xml:space="preserve">entsprechend den Voraussetzungen eines </w:t>
      </w:r>
      <w:r w:rsidR="005C7F90">
        <w:rPr>
          <w:color w:val="auto"/>
        </w:rPr>
        <w:t>Einwilligungsvorbehaltes betreuter Personen</w:t>
      </w:r>
      <w:r w:rsidR="000D77BB">
        <w:rPr>
          <w:color w:val="auto"/>
        </w:rPr>
        <w:t xml:space="preserve"> </w:t>
      </w:r>
      <w:r w:rsidR="005C7F90">
        <w:rPr>
          <w:color w:val="auto"/>
        </w:rPr>
        <w:t xml:space="preserve">gem. </w:t>
      </w:r>
      <w:r w:rsidR="000D77BB">
        <w:rPr>
          <w:color w:val="auto"/>
        </w:rPr>
        <w:t xml:space="preserve">§ 1825 I 1 BGB </w:t>
      </w:r>
      <w:r w:rsidR="005C7F90">
        <w:rPr>
          <w:color w:val="auto"/>
        </w:rPr>
        <w:t xml:space="preserve">als </w:t>
      </w:r>
      <w:r w:rsidR="00D57852">
        <w:rPr>
          <w:color w:val="auto"/>
        </w:rPr>
        <w:t xml:space="preserve">hinreichend wahrscheinliche </w:t>
      </w:r>
      <w:r w:rsidR="00B23D2C">
        <w:rPr>
          <w:color w:val="auto"/>
        </w:rPr>
        <w:t xml:space="preserve">wesentliche Schädigung des </w:t>
      </w:r>
      <w:r w:rsidR="0006126A">
        <w:rPr>
          <w:color w:val="auto"/>
        </w:rPr>
        <w:t>G</w:t>
      </w:r>
      <w:r w:rsidR="00B23D2C">
        <w:rPr>
          <w:color w:val="auto"/>
        </w:rPr>
        <w:t>eschäftsunfähigen oder seines Vermögens</w:t>
      </w:r>
      <w:r w:rsidR="002E59E4">
        <w:rPr>
          <w:color w:val="auto"/>
        </w:rPr>
        <w:t xml:space="preserve"> </w:t>
      </w:r>
      <w:r w:rsidR="00E35801">
        <w:rPr>
          <w:color w:val="auto"/>
        </w:rPr>
        <w:t>(</w:t>
      </w:r>
      <w:r w:rsidR="008D4BA9" w:rsidRPr="008D4BA9">
        <w:rPr>
          <w:color w:val="auto"/>
        </w:rPr>
        <w:t xml:space="preserve">MüKoBGB/Spickhoff BGB § 105a </w:t>
      </w:r>
      <w:proofErr w:type="spellStart"/>
      <w:r w:rsidR="008D4BA9" w:rsidRPr="008D4BA9">
        <w:rPr>
          <w:color w:val="auto"/>
        </w:rPr>
        <w:t>Rn</w:t>
      </w:r>
      <w:proofErr w:type="spellEnd"/>
      <w:r w:rsidR="008D4BA9" w:rsidRPr="008D4BA9">
        <w:rPr>
          <w:color w:val="auto"/>
        </w:rPr>
        <w:t xml:space="preserve">. </w:t>
      </w:r>
      <w:hyperlink r:id="rId16" w:history="1">
        <w:r w:rsidR="008D4BA9" w:rsidRPr="00620A24">
          <w:rPr>
            <w:rStyle w:val="Hyperlink"/>
            <w:color w:val="688AF8"/>
            <w:u w:val="none"/>
          </w:rPr>
          <w:t>18-20</w:t>
        </w:r>
      </w:hyperlink>
      <w:r w:rsidR="008D4BA9">
        <w:rPr>
          <w:color w:val="auto"/>
        </w:rPr>
        <w:t>)</w:t>
      </w:r>
      <w:r w:rsidR="00E35801">
        <w:rPr>
          <w:color w:val="auto"/>
        </w:rPr>
        <w:t xml:space="preserve"> ausgelegt.</w:t>
      </w:r>
    </w:p>
    <w:p w14:paraId="177C692C" w14:textId="77777777" w:rsidR="00E35801" w:rsidRDefault="00E35801" w:rsidP="00620A24">
      <w:pPr>
        <w:pStyle w:val="SchemaDefinitionenHeader"/>
        <w:ind w:left="3228"/>
        <w:rPr>
          <w:color w:val="auto"/>
        </w:rPr>
      </w:pPr>
    </w:p>
    <w:p w14:paraId="0F108E61" w14:textId="77777777" w:rsidR="00E35801" w:rsidRDefault="00B859F8" w:rsidP="00E35801">
      <w:pPr>
        <w:pStyle w:val="SchemaDefinitionenHeader"/>
        <w:ind w:left="3540"/>
        <w:rPr>
          <w:i/>
          <w:iCs/>
          <w:color w:val="auto"/>
        </w:rPr>
      </w:pPr>
      <w:r w:rsidRPr="00075567">
        <w:rPr>
          <w:i/>
          <w:iCs/>
          <w:color w:val="auto"/>
        </w:rPr>
        <w:t xml:space="preserve">Beispiele: </w:t>
      </w:r>
    </w:p>
    <w:p w14:paraId="0B4B4E7A" w14:textId="6E283087" w:rsidR="00B859F8" w:rsidRPr="00620A24" w:rsidRDefault="00E35801" w:rsidP="00E35801">
      <w:pPr>
        <w:pStyle w:val="SchemaDefinitionenHeader"/>
        <w:ind w:left="3540"/>
        <w:rPr>
          <w:color w:val="auto"/>
        </w:rPr>
      </w:pPr>
      <w:r w:rsidRPr="00620A24">
        <w:rPr>
          <w:color w:val="auto"/>
        </w:rPr>
        <w:t>Z</w:t>
      </w:r>
      <w:r w:rsidR="00B859F8" w:rsidRPr="00620A24">
        <w:rPr>
          <w:color w:val="auto"/>
        </w:rPr>
        <w:t xml:space="preserve">ur Selbstverletzung geeignete </w:t>
      </w:r>
      <w:r w:rsidR="00874579" w:rsidRPr="00620A24">
        <w:rPr>
          <w:color w:val="auto"/>
        </w:rPr>
        <w:t>Gegenstände</w:t>
      </w:r>
      <w:r w:rsidR="00B859F8" w:rsidRPr="00620A24">
        <w:rPr>
          <w:color w:val="auto"/>
        </w:rPr>
        <w:t xml:space="preserve"> eine</w:t>
      </w:r>
      <w:r w:rsidR="00874579" w:rsidRPr="00620A24">
        <w:rPr>
          <w:color w:val="auto"/>
        </w:rPr>
        <w:t>s</w:t>
      </w:r>
      <w:r w:rsidR="00B859F8" w:rsidRPr="00620A24">
        <w:rPr>
          <w:color w:val="auto"/>
        </w:rPr>
        <w:t xml:space="preserve"> </w:t>
      </w:r>
      <w:r w:rsidR="00874579" w:rsidRPr="00620A24">
        <w:rPr>
          <w:color w:val="auto"/>
        </w:rPr>
        <w:t xml:space="preserve">suizidalen Geschäftsunfähigen, </w:t>
      </w:r>
      <w:r w:rsidR="0006126A" w:rsidRPr="00620A24">
        <w:rPr>
          <w:color w:val="auto"/>
        </w:rPr>
        <w:t>ein wirtschaftlich unvorteilhaftes Geschäft</w:t>
      </w:r>
    </w:p>
    <w:p w14:paraId="446BED27" w14:textId="77777777" w:rsidR="00E35801" w:rsidRPr="00075567" w:rsidRDefault="00E35801" w:rsidP="00620A24">
      <w:pPr>
        <w:pStyle w:val="SchemaDefinitionenHeader"/>
        <w:ind w:left="3540"/>
        <w:rPr>
          <w:i/>
          <w:iCs/>
          <w:color w:val="auto"/>
        </w:rPr>
      </w:pPr>
    </w:p>
    <w:p w14:paraId="3F5776FA" w14:textId="536D19E6" w:rsidR="00BF4006" w:rsidRPr="00E35801" w:rsidRDefault="00BF4006" w:rsidP="00E35801">
      <w:pPr>
        <w:pStyle w:val="SchemaDefinitionenHeader"/>
        <w:numPr>
          <w:ilvl w:val="0"/>
          <w:numId w:val="30"/>
        </w:numPr>
        <w:rPr>
          <w:b/>
          <w:bCs/>
          <w:color w:val="auto"/>
        </w:rPr>
      </w:pPr>
      <w:r w:rsidRPr="00E35801">
        <w:rPr>
          <w:b/>
          <w:bCs/>
          <w:color w:val="auto"/>
        </w:rPr>
        <w:t>Wirksamkeit des Vertrages</w:t>
      </w:r>
    </w:p>
    <w:p w14:paraId="7EED1EF8" w14:textId="5CD74DD8" w:rsidR="00E35801" w:rsidRDefault="004535DD" w:rsidP="00E35801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 xml:space="preserve">Sollte die Willenserklärung </w:t>
      </w:r>
      <w:r w:rsidR="00E35801">
        <w:rPr>
          <w:bCs/>
          <w:color w:val="auto"/>
        </w:rPr>
        <w:t xml:space="preserve">gem. § 105 BGB </w:t>
      </w:r>
      <w:r>
        <w:rPr>
          <w:bCs/>
          <w:color w:val="auto"/>
        </w:rPr>
        <w:t>nicht unwirksam sein</w:t>
      </w:r>
      <w:r w:rsidR="00114811">
        <w:rPr>
          <w:bCs/>
          <w:color w:val="auto"/>
        </w:rPr>
        <w:t xml:space="preserve"> oder </w:t>
      </w:r>
      <w:r w:rsidR="00E35801">
        <w:rPr>
          <w:bCs/>
          <w:color w:val="auto"/>
        </w:rPr>
        <w:t xml:space="preserve">aber </w:t>
      </w:r>
      <w:r w:rsidR="00114811">
        <w:rPr>
          <w:bCs/>
          <w:color w:val="auto"/>
        </w:rPr>
        <w:t>gem. § 105a BGB als wirksam gelten</w:t>
      </w:r>
      <w:r>
        <w:rPr>
          <w:bCs/>
          <w:color w:val="auto"/>
        </w:rPr>
        <w:t xml:space="preserve">, kann weiter geprüft werden. </w:t>
      </w:r>
    </w:p>
    <w:p w14:paraId="30F1D3A9" w14:textId="2F58DB98" w:rsidR="00D4505C" w:rsidRDefault="004535DD" w:rsidP="00E35801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 xml:space="preserve">Ansonsten liegt </w:t>
      </w:r>
      <w:r w:rsidR="00F42BD0">
        <w:rPr>
          <w:bCs/>
          <w:color w:val="auto"/>
        </w:rPr>
        <w:t xml:space="preserve">mangels zwei wirksamer, übereinstimmender Willenserklärungen </w:t>
      </w:r>
      <w:r>
        <w:rPr>
          <w:bCs/>
          <w:color w:val="auto"/>
        </w:rPr>
        <w:t>schon kein Vertragsschluss vor.</w:t>
      </w:r>
    </w:p>
    <w:p w14:paraId="0AC4EA69" w14:textId="77777777" w:rsidR="00E35801" w:rsidRPr="00D4505C" w:rsidRDefault="00E35801" w:rsidP="00620A24">
      <w:pPr>
        <w:pStyle w:val="SchemaDefinitionenHeader"/>
        <w:ind w:left="1080"/>
        <w:rPr>
          <w:b/>
          <w:bCs/>
          <w:color w:val="auto"/>
        </w:rPr>
      </w:pPr>
    </w:p>
    <w:p w14:paraId="0E412D5F" w14:textId="74983511" w:rsidR="005772EE" w:rsidRPr="00620A24" w:rsidRDefault="005772EE" w:rsidP="00620A24">
      <w:pPr>
        <w:pStyle w:val="SchemaDefinitionenHeader"/>
        <w:numPr>
          <w:ilvl w:val="0"/>
          <w:numId w:val="31"/>
        </w:numPr>
        <w:rPr>
          <w:rStyle w:val="Hyperlink"/>
          <w:b/>
          <w:color w:val="auto"/>
          <w:u w:val="none"/>
        </w:rPr>
      </w:pPr>
      <w:r w:rsidRPr="00620A24">
        <w:rPr>
          <w:rStyle w:val="Hyperlink"/>
          <w:b/>
          <w:color w:val="auto"/>
          <w:u w:val="none"/>
        </w:rPr>
        <w:t xml:space="preserve">Anspruch </w:t>
      </w:r>
      <w:r w:rsidR="008868B0" w:rsidRPr="00620A24">
        <w:rPr>
          <w:rStyle w:val="Hyperlink"/>
          <w:b/>
          <w:color w:val="auto"/>
          <w:u w:val="none"/>
        </w:rPr>
        <w:t xml:space="preserve">nicht </w:t>
      </w:r>
      <w:r w:rsidRPr="00620A24">
        <w:rPr>
          <w:rStyle w:val="Hyperlink"/>
          <w:b/>
          <w:color w:val="auto"/>
          <w:u w:val="none"/>
        </w:rPr>
        <w:t>erloschen</w:t>
      </w:r>
    </w:p>
    <w:p w14:paraId="639E33A1" w14:textId="35C283C7" w:rsidR="005772EE" w:rsidRPr="00620A24" w:rsidRDefault="005772EE" w:rsidP="00620A24">
      <w:pPr>
        <w:pStyle w:val="SchemaDefinitionenHeader"/>
        <w:numPr>
          <w:ilvl w:val="0"/>
          <w:numId w:val="31"/>
        </w:numPr>
        <w:rPr>
          <w:rStyle w:val="Hyperlink"/>
          <w:b/>
          <w:color w:val="auto"/>
          <w:u w:val="none"/>
        </w:rPr>
      </w:pPr>
      <w:r w:rsidRPr="00620A24">
        <w:rPr>
          <w:rStyle w:val="Hyperlink"/>
          <w:b/>
          <w:color w:val="auto"/>
          <w:u w:val="none"/>
        </w:rPr>
        <w:t>Anspruch durchsetzbar</w:t>
      </w:r>
    </w:p>
    <w:p w14:paraId="1EC58945" w14:textId="3496BF10" w:rsidR="005772EE" w:rsidRDefault="005772EE" w:rsidP="00D01277">
      <w:pPr>
        <w:pStyle w:val="Tatbestandberschriften"/>
        <w:tabs>
          <w:tab w:val="left" w:pos="3965"/>
        </w:tabs>
        <w:spacing w:after="0"/>
      </w:pPr>
    </w:p>
    <w:p w14:paraId="162C85E2" w14:textId="4518E400" w:rsidR="008D64A0" w:rsidRDefault="008D64A0" w:rsidP="00D01277">
      <w:pPr>
        <w:pStyle w:val="Tatbestandberschriften"/>
        <w:tabs>
          <w:tab w:val="left" w:pos="3965"/>
        </w:tabs>
        <w:spacing w:after="0"/>
      </w:pPr>
    </w:p>
    <w:p w14:paraId="4F5680E3" w14:textId="77777777" w:rsidR="00F35956" w:rsidRPr="00D96BD2" w:rsidRDefault="00F35956" w:rsidP="00F35956">
      <w:pPr>
        <w:jc w:val="both"/>
        <w:rPr>
          <w:rFonts w:ascii="Open Sans" w:hAnsi="Open Sans" w:cs="Open Sans"/>
          <w:bCs/>
        </w:rPr>
      </w:pPr>
      <w:bookmarkStart w:id="2" w:name="_Hlk110621949"/>
      <w:r w:rsidRPr="00D96BD2">
        <w:rPr>
          <w:rFonts w:ascii="Open Sans" w:hAnsi="Open Sans" w:cs="Open Sans"/>
          <w:bCs/>
        </w:rPr>
        <w:t>Quellen:</w:t>
      </w:r>
    </w:p>
    <w:p w14:paraId="449B5337" w14:textId="6452985D" w:rsidR="00F35956" w:rsidRPr="00AD2ED5" w:rsidRDefault="00F35956" w:rsidP="00F35956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  <w:i/>
          <w:iCs/>
        </w:rPr>
        <w:t>Ellenberger</w:t>
      </w:r>
      <w:r w:rsidRPr="00AD2ED5">
        <w:rPr>
          <w:rFonts w:ascii="Open Sans" w:hAnsi="Open Sans" w:cs="Open Sans"/>
          <w:bCs/>
        </w:rPr>
        <w:t xml:space="preserve"> in: Palandt, Bürgerliches Gesetzbuch, 80. Aufl. 2021, Überblick von </w:t>
      </w:r>
      <w:r w:rsidRPr="00AD2ED5">
        <w:rPr>
          <w:rFonts w:ascii="Open Sans" w:hAnsi="Open Sans" w:cs="Open Sans"/>
          <w:bCs/>
        </w:rPr>
        <w:br/>
        <w:t xml:space="preserve">§ 107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1 ff.; § 108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>. 1 ff., 4</w:t>
      </w:r>
      <w:r w:rsidR="00554CDD" w:rsidRPr="00AD2ED5">
        <w:rPr>
          <w:rFonts w:ascii="Open Sans" w:hAnsi="Open Sans" w:cs="Open Sans"/>
          <w:bCs/>
        </w:rPr>
        <w:t xml:space="preserve">; § 110 </w:t>
      </w:r>
      <w:proofErr w:type="spellStart"/>
      <w:r w:rsidR="00554CDD" w:rsidRPr="00AD2ED5">
        <w:rPr>
          <w:rFonts w:ascii="Open Sans" w:hAnsi="Open Sans" w:cs="Open Sans"/>
          <w:bCs/>
        </w:rPr>
        <w:t>Rn</w:t>
      </w:r>
      <w:proofErr w:type="spellEnd"/>
      <w:r w:rsidR="00554CDD" w:rsidRPr="00AD2ED5">
        <w:rPr>
          <w:rFonts w:ascii="Open Sans" w:hAnsi="Open Sans" w:cs="Open Sans"/>
          <w:bCs/>
        </w:rPr>
        <w:t>. 1 ff.</w:t>
      </w:r>
    </w:p>
    <w:p w14:paraId="70A39A0E" w14:textId="0D82CAD0" w:rsidR="00857CCA" w:rsidRPr="00AD2ED5" w:rsidRDefault="00857CCA" w:rsidP="00F35956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 xml:space="preserve">MüKoBGB/Spickhoff, 9. Aufl. 2021, </w:t>
      </w:r>
      <w:r w:rsidR="008A4443" w:rsidRPr="00AD2ED5">
        <w:rPr>
          <w:rFonts w:ascii="Open Sans" w:hAnsi="Open Sans" w:cs="Open Sans"/>
          <w:bCs/>
        </w:rPr>
        <w:t xml:space="preserve">BGB § 104 </w:t>
      </w:r>
      <w:proofErr w:type="spellStart"/>
      <w:r w:rsidR="008A4443" w:rsidRPr="00AD2ED5">
        <w:rPr>
          <w:rFonts w:ascii="Open Sans" w:hAnsi="Open Sans" w:cs="Open Sans"/>
          <w:bCs/>
        </w:rPr>
        <w:t>Rn</w:t>
      </w:r>
      <w:proofErr w:type="spellEnd"/>
      <w:r w:rsidR="008A4443" w:rsidRPr="00AD2ED5">
        <w:rPr>
          <w:rFonts w:ascii="Open Sans" w:hAnsi="Open Sans" w:cs="Open Sans"/>
          <w:bCs/>
        </w:rPr>
        <w:t xml:space="preserve">. </w:t>
      </w:r>
      <w:hyperlink r:id="rId17" w:history="1">
        <w:r w:rsidR="008A4443"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43, 44</w:t>
        </w:r>
      </w:hyperlink>
      <w:r w:rsidR="00AD2ED5">
        <w:rPr>
          <w:rFonts w:ascii="Open Sans" w:hAnsi="Open Sans" w:cs="Open Sans"/>
          <w:bCs/>
        </w:rPr>
        <w:t>.</w:t>
      </w:r>
    </w:p>
    <w:p w14:paraId="652B437A" w14:textId="615A86BB" w:rsidR="00CA42B4" w:rsidRPr="00AD2ED5" w:rsidRDefault="00AB6ED6" w:rsidP="00F35956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>MüKoBGB/Spickhoff, 9. Aufl. 2021, BGB</w:t>
      </w:r>
      <w:r w:rsidR="008A4443" w:rsidRPr="00AD2ED5">
        <w:rPr>
          <w:rFonts w:ascii="Open Sans" w:hAnsi="Open Sans" w:cs="Open Sans"/>
          <w:bCs/>
        </w:rPr>
        <w:t xml:space="preserve"> </w:t>
      </w:r>
      <w:r w:rsidR="00AD2ED5" w:rsidRPr="00AD2ED5">
        <w:rPr>
          <w:rFonts w:ascii="Open Sans" w:hAnsi="Open Sans" w:cs="Open Sans"/>
          <w:bCs/>
        </w:rPr>
        <w:t xml:space="preserve">§ 105 </w:t>
      </w:r>
      <w:proofErr w:type="spellStart"/>
      <w:r w:rsidR="008A4443" w:rsidRPr="00AD2ED5">
        <w:rPr>
          <w:rFonts w:ascii="Open Sans" w:hAnsi="Open Sans" w:cs="Open Sans"/>
          <w:bCs/>
        </w:rPr>
        <w:t>Rn</w:t>
      </w:r>
      <w:proofErr w:type="spellEnd"/>
      <w:r w:rsidR="008A4443" w:rsidRPr="00AD2ED5">
        <w:rPr>
          <w:rFonts w:ascii="Open Sans" w:hAnsi="Open Sans" w:cs="Open Sans"/>
          <w:bCs/>
        </w:rPr>
        <w:t xml:space="preserve">. </w:t>
      </w:r>
      <w:hyperlink r:id="rId18" w:history="1">
        <w:r w:rsidR="008A4443"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38</w:t>
        </w:r>
      </w:hyperlink>
      <w:r w:rsidR="008A4443" w:rsidRPr="00AD2ED5">
        <w:rPr>
          <w:rFonts w:ascii="Open Sans" w:hAnsi="Open Sans" w:cs="Open Sans"/>
          <w:bCs/>
        </w:rPr>
        <w:t xml:space="preserve">, </w:t>
      </w:r>
      <w:proofErr w:type="spellStart"/>
      <w:r w:rsidR="008A4443" w:rsidRPr="00AD2ED5">
        <w:rPr>
          <w:rFonts w:ascii="Open Sans" w:hAnsi="Open Sans" w:cs="Open Sans"/>
          <w:bCs/>
        </w:rPr>
        <w:t>Rn</w:t>
      </w:r>
      <w:proofErr w:type="spellEnd"/>
      <w:r w:rsidR="008A4443" w:rsidRPr="00AD2ED5">
        <w:rPr>
          <w:rFonts w:ascii="Open Sans" w:hAnsi="Open Sans" w:cs="Open Sans"/>
          <w:bCs/>
        </w:rPr>
        <w:t xml:space="preserve">. </w:t>
      </w:r>
      <w:hyperlink r:id="rId19" w:anchor="FNID0EUSNBB" w:history="1">
        <w:r w:rsidR="008A4443"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41</w:t>
        </w:r>
      </w:hyperlink>
      <w:r w:rsidR="00AD2ED5">
        <w:rPr>
          <w:rFonts w:ascii="Open Sans" w:hAnsi="Open Sans" w:cs="Open Sans"/>
          <w:bCs/>
        </w:rPr>
        <w:t>.</w:t>
      </w:r>
    </w:p>
    <w:p w14:paraId="0270B623" w14:textId="176AE241" w:rsidR="00A74E52" w:rsidRPr="00AD2ED5" w:rsidRDefault="00A74E52" w:rsidP="00F35956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 xml:space="preserve">MüKoBGB/Spickhoff, 9. Aufl. 2021, BGB </w:t>
      </w:r>
      <w:r w:rsidR="00AD2ED5">
        <w:rPr>
          <w:rFonts w:ascii="Open Sans" w:hAnsi="Open Sans" w:cs="Open Sans"/>
        </w:rPr>
        <w:t>§ 105a</w:t>
      </w:r>
      <w:r w:rsidR="008A4443" w:rsidRPr="00AD2ED5">
        <w:rPr>
          <w:rFonts w:ascii="Open Sans" w:hAnsi="Open Sans" w:cs="Open Sans"/>
          <w:bCs/>
        </w:rPr>
        <w:t xml:space="preserve"> </w:t>
      </w:r>
      <w:proofErr w:type="spellStart"/>
      <w:r w:rsidR="008A4443" w:rsidRPr="00AD2ED5">
        <w:rPr>
          <w:rFonts w:ascii="Open Sans" w:hAnsi="Open Sans" w:cs="Open Sans"/>
          <w:bCs/>
        </w:rPr>
        <w:t>Rn</w:t>
      </w:r>
      <w:proofErr w:type="spellEnd"/>
      <w:r w:rsidR="008A4443" w:rsidRPr="00AD2ED5">
        <w:rPr>
          <w:rFonts w:ascii="Open Sans" w:hAnsi="Open Sans" w:cs="Open Sans"/>
          <w:bCs/>
        </w:rPr>
        <w:t xml:space="preserve">. </w:t>
      </w:r>
      <w:hyperlink r:id="rId20" w:history="1">
        <w:r w:rsidR="008A4443"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18-20</w:t>
        </w:r>
      </w:hyperlink>
      <w:r w:rsidR="00AD2ED5">
        <w:rPr>
          <w:rFonts w:ascii="Open Sans" w:hAnsi="Open Sans" w:cs="Open Sans"/>
          <w:bCs/>
        </w:rPr>
        <w:t>.</w:t>
      </w:r>
    </w:p>
    <w:p w14:paraId="3618BABC" w14:textId="77777777" w:rsidR="008A4443" w:rsidRPr="00AD2ED5" w:rsidRDefault="008A4443" w:rsidP="00F35956">
      <w:pPr>
        <w:jc w:val="both"/>
        <w:rPr>
          <w:rFonts w:ascii="Open Sans" w:hAnsi="Open Sans" w:cs="Open Sans"/>
          <w:bCs/>
        </w:rPr>
      </w:pPr>
    </w:p>
    <w:p w14:paraId="7FA83499" w14:textId="4270FF6B" w:rsidR="00AD2ED5" w:rsidRDefault="00AD2ED5" w:rsidP="00AD2ED5">
      <w:pPr>
        <w:jc w:val="both"/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lastRenderedPageBreak/>
        <w:t xml:space="preserve">Jauernig/Mansel, 18. Aufl. 2021, BGB </w:t>
      </w:r>
      <w:r>
        <w:rPr>
          <w:rFonts w:ascii="Open Sans" w:hAnsi="Open Sans" w:cs="Open Sans"/>
        </w:rPr>
        <w:t>§ 105a</w:t>
      </w:r>
      <w:r w:rsidRPr="00AD2ED5">
        <w:rPr>
          <w:rFonts w:ascii="Open Sans" w:hAnsi="Open Sans" w:cs="Open Sans"/>
          <w:bCs/>
        </w:rPr>
        <w:t xml:space="preserve">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>.</w:t>
      </w:r>
      <w:r w:rsidRPr="00AD2ED5">
        <w:rPr>
          <w:rFonts w:ascii="Open Sans" w:hAnsi="Open Sans" w:cs="Open Sans"/>
          <w:bCs/>
          <w:color w:val="688AF8"/>
        </w:rPr>
        <w:t xml:space="preserve"> </w:t>
      </w:r>
      <w:hyperlink r:id="rId21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5</w:t>
        </w:r>
      </w:hyperlink>
      <w:r w:rsidRPr="00AD2ED5">
        <w:rPr>
          <w:rFonts w:ascii="Open Sans" w:hAnsi="Open Sans" w:cs="Open Sans"/>
          <w:bCs/>
        </w:rPr>
        <w:t xml:space="preserve">,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22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6</w:t>
        </w:r>
      </w:hyperlink>
      <w:r w:rsidRPr="00AD2ED5">
        <w:rPr>
          <w:rFonts w:ascii="Open Sans" w:hAnsi="Open Sans" w:cs="Open Sans"/>
          <w:bCs/>
        </w:rPr>
        <w:t>.</w:t>
      </w:r>
    </w:p>
    <w:p w14:paraId="11A9B8EA" w14:textId="3A052921" w:rsidR="008A4443" w:rsidRPr="00AD2ED5" w:rsidRDefault="008A4443" w:rsidP="008A4443">
      <w:pPr>
        <w:rPr>
          <w:rFonts w:ascii="Open Sans" w:hAnsi="Open Sans" w:cs="Open Sans"/>
          <w:bCs/>
        </w:rPr>
      </w:pPr>
      <w:r w:rsidRPr="00AD2ED5">
        <w:rPr>
          <w:rFonts w:ascii="Open Sans" w:hAnsi="Open Sans" w:cs="Open Sans"/>
          <w:bCs/>
        </w:rPr>
        <w:t>MüKoBGB/</w:t>
      </w:r>
      <w:proofErr w:type="spellStart"/>
      <w:r w:rsidRPr="00AD2ED5">
        <w:rPr>
          <w:rFonts w:ascii="Open Sans" w:hAnsi="Open Sans" w:cs="Open Sans"/>
          <w:bCs/>
        </w:rPr>
        <w:t>Einsele</w:t>
      </w:r>
      <w:proofErr w:type="spellEnd"/>
      <w:r w:rsidRPr="00AD2ED5">
        <w:rPr>
          <w:rFonts w:ascii="Open Sans" w:hAnsi="Open Sans" w:cs="Open Sans"/>
          <w:bCs/>
        </w:rPr>
        <w:t xml:space="preserve">, 9. Aufl. 2021, </w:t>
      </w:r>
      <w:r w:rsidRPr="00AD2ED5">
        <w:rPr>
          <w:rFonts w:ascii="Open Sans" w:hAnsi="Open Sans" w:cs="Open Sans"/>
          <w:bCs/>
        </w:rPr>
        <w:t xml:space="preserve">BGB </w:t>
      </w:r>
      <w:r w:rsidRPr="00AD2ED5">
        <w:rPr>
          <w:rFonts w:ascii="Open Sans" w:hAnsi="Open Sans" w:cs="Open Sans"/>
          <w:bCs/>
        </w:rPr>
        <w:t xml:space="preserve">§ 131 </w:t>
      </w:r>
      <w:proofErr w:type="spellStart"/>
      <w:r w:rsidRPr="00AD2ED5">
        <w:rPr>
          <w:rFonts w:ascii="Open Sans" w:hAnsi="Open Sans" w:cs="Open Sans"/>
          <w:bCs/>
        </w:rPr>
        <w:t>Rn</w:t>
      </w:r>
      <w:proofErr w:type="spellEnd"/>
      <w:r w:rsidRPr="00AD2ED5">
        <w:rPr>
          <w:rFonts w:ascii="Open Sans" w:hAnsi="Open Sans" w:cs="Open Sans"/>
          <w:bCs/>
        </w:rPr>
        <w:t xml:space="preserve">. </w:t>
      </w:r>
      <w:hyperlink r:id="rId23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2</w:t>
        </w:r>
      </w:hyperlink>
      <w:r w:rsidR="00AD2ED5">
        <w:rPr>
          <w:rFonts w:ascii="Open Sans" w:hAnsi="Open Sans" w:cs="Open Sans"/>
          <w:bCs/>
        </w:rPr>
        <w:t>.</w:t>
      </w:r>
    </w:p>
    <w:bookmarkEnd w:id="2"/>
    <w:p w14:paraId="5378D6A5" w14:textId="216DEE38" w:rsidR="00295E1E" w:rsidRPr="00AD2ED5" w:rsidRDefault="0036701F" w:rsidP="00620A24">
      <w:pPr>
        <w:jc w:val="both"/>
        <w:rPr>
          <w:rFonts w:ascii="Open Sans" w:hAnsi="Open Sans" w:cs="Open Sans"/>
        </w:rPr>
      </w:pPr>
      <w:r w:rsidRPr="00AD2ED5">
        <w:rPr>
          <w:rFonts w:ascii="Open Sans" w:hAnsi="Open Sans" w:cs="Open Sans"/>
          <w:bCs/>
        </w:rPr>
        <w:t xml:space="preserve">BGHZ 18, 184 (186) = NJW 1955, </w:t>
      </w:r>
      <w:hyperlink r:id="rId24" w:history="1">
        <w:r w:rsidRPr="00AD2ED5">
          <w:rPr>
            <w:rStyle w:val="Hyperlink"/>
            <w:rFonts w:ascii="Open Sans" w:hAnsi="Open Sans" w:cs="Open Sans"/>
            <w:bCs/>
            <w:color w:val="688AF8"/>
            <w:u w:val="none"/>
          </w:rPr>
          <w:t>1714</w:t>
        </w:r>
      </w:hyperlink>
      <w:r w:rsidRPr="00AD2ED5">
        <w:rPr>
          <w:rFonts w:ascii="Open Sans" w:hAnsi="Open Sans" w:cs="Open Sans"/>
          <w:bCs/>
        </w:rPr>
        <w:t>.</w:t>
      </w:r>
    </w:p>
    <w:sectPr w:rsidR="00295E1E" w:rsidRPr="00AD2ED5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1A10" w14:textId="77777777" w:rsidR="00F174BB" w:rsidRDefault="00F174BB" w:rsidP="0041069B">
      <w:pPr>
        <w:spacing w:after="0" w:line="240" w:lineRule="auto"/>
      </w:pPr>
      <w:r>
        <w:separator/>
      </w:r>
    </w:p>
  </w:endnote>
  <w:endnote w:type="continuationSeparator" w:id="0">
    <w:p w14:paraId="2B259963" w14:textId="77777777" w:rsidR="00F174BB" w:rsidRDefault="00F174BB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3" w:name="_Hlk64808829"/>
        <w:bookmarkStart w:id="4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B3D62DE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627D2E8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32E6AC86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071F0C7A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3"/>
    <w:bookmarkEnd w:id="4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9A9F" w14:textId="77777777" w:rsidR="00F174BB" w:rsidRDefault="00F174BB" w:rsidP="0041069B">
      <w:pPr>
        <w:spacing w:after="0" w:line="240" w:lineRule="auto"/>
      </w:pPr>
      <w:r>
        <w:separator/>
      </w:r>
    </w:p>
  </w:footnote>
  <w:footnote w:type="continuationSeparator" w:id="0">
    <w:p w14:paraId="5AC0FBAF" w14:textId="77777777" w:rsidR="00F174BB" w:rsidRDefault="00F174BB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DFD21D4"/>
    <w:multiLevelType w:val="hybridMultilevel"/>
    <w:tmpl w:val="009CAD6A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F6B65"/>
    <w:multiLevelType w:val="hybridMultilevel"/>
    <w:tmpl w:val="68A2943A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92F66"/>
    <w:multiLevelType w:val="hybridMultilevel"/>
    <w:tmpl w:val="845A11E8"/>
    <w:lvl w:ilvl="0" w:tplc="63285B60">
      <w:start w:val="27"/>
      <w:numFmt w:val="lowerLetter"/>
      <w:lvlText w:val="%1."/>
      <w:lvlJc w:val="left"/>
      <w:pPr>
        <w:ind w:left="2484" w:hanging="360"/>
      </w:pPr>
      <w:rPr>
        <w:rFonts w:hint="default"/>
        <w:i/>
        <w:iCs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413A93"/>
    <w:multiLevelType w:val="hybridMultilevel"/>
    <w:tmpl w:val="0D468412"/>
    <w:lvl w:ilvl="0" w:tplc="BB2E4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AD0BF1"/>
    <w:multiLevelType w:val="hybridMultilevel"/>
    <w:tmpl w:val="509E40A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2880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0C701FC"/>
    <w:multiLevelType w:val="hybridMultilevel"/>
    <w:tmpl w:val="365CD9BE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68620D"/>
    <w:multiLevelType w:val="hybridMultilevel"/>
    <w:tmpl w:val="C54204A8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6" w15:restartNumberingAfterBreak="0">
    <w:nsid w:val="3C596895"/>
    <w:multiLevelType w:val="hybridMultilevel"/>
    <w:tmpl w:val="ED067F4E"/>
    <w:lvl w:ilvl="0" w:tplc="5630EDDE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 w15:restartNumberingAfterBreak="0">
    <w:nsid w:val="3CD872B8"/>
    <w:multiLevelType w:val="hybridMultilevel"/>
    <w:tmpl w:val="E944820E"/>
    <w:lvl w:ilvl="0" w:tplc="FFFFFFF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22" w15:restartNumberingAfterBreak="0">
    <w:nsid w:val="492E37CC"/>
    <w:multiLevelType w:val="hybridMultilevel"/>
    <w:tmpl w:val="845A11E8"/>
    <w:lvl w:ilvl="0" w:tplc="FFFFFFFF">
      <w:start w:val="27"/>
      <w:numFmt w:val="lowerLetter"/>
      <w:lvlText w:val="%1."/>
      <w:lvlJc w:val="left"/>
      <w:pPr>
        <w:ind w:left="2484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4A560AFF"/>
    <w:multiLevelType w:val="hybridMultilevel"/>
    <w:tmpl w:val="97F29D10"/>
    <w:lvl w:ilvl="0" w:tplc="DFEE291A">
      <w:start w:val="1"/>
      <w:numFmt w:val="decimal"/>
      <w:lvlText w:val="%1."/>
      <w:lvlJc w:val="left"/>
      <w:pPr>
        <w:ind w:left="1080" w:hanging="360"/>
      </w:pPr>
      <w:rPr>
        <w:rFonts w:ascii="Open Sans" w:eastAsiaTheme="minorHAnsi" w:hAnsi="Open Sans" w:cs="Open Sans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9A07FD"/>
    <w:multiLevelType w:val="hybridMultilevel"/>
    <w:tmpl w:val="790C5EA6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C4D5D89"/>
    <w:multiLevelType w:val="hybridMultilevel"/>
    <w:tmpl w:val="4C72FE88"/>
    <w:lvl w:ilvl="0" w:tplc="E5AEE5A4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74527B3"/>
    <w:multiLevelType w:val="hybridMultilevel"/>
    <w:tmpl w:val="5CE88AEA"/>
    <w:lvl w:ilvl="0" w:tplc="D018D002">
      <w:start w:val="27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E0938A3"/>
    <w:multiLevelType w:val="hybridMultilevel"/>
    <w:tmpl w:val="7A2C60D2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9" w15:restartNumberingAfterBreak="0">
    <w:nsid w:val="61A826DA"/>
    <w:multiLevelType w:val="hybridMultilevel"/>
    <w:tmpl w:val="50706806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2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3" w15:restartNumberingAfterBreak="0">
    <w:nsid w:val="69A654DF"/>
    <w:multiLevelType w:val="hybridMultilevel"/>
    <w:tmpl w:val="F35E0184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81EEFA36">
      <w:start w:val="1"/>
      <w:numFmt w:val="bullet"/>
      <w:lvlText w:val="-"/>
      <w:lvlJc w:val="left"/>
      <w:pPr>
        <w:ind w:left="3960" w:hanging="360"/>
      </w:pPr>
      <w:rPr>
        <w:rFonts w:ascii="Open Sans" w:eastAsiaTheme="minorHAnsi" w:hAnsi="Open Sans" w:cs="Open Sans" w:hint="default"/>
      </w:r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F7C5F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7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8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39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40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41" w15:restartNumberingAfterBreak="0">
    <w:nsid w:val="7D34011D"/>
    <w:multiLevelType w:val="hybridMultilevel"/>
    <w:tmpl w:val="C8EEE190"/>
    <w:lvl w:ilvl="0" w:tplc="5DA2AB6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6754C"/>
    <w:multiLevelType w:val="hybridMultilevel"/>
    <w:tmpl w:val="78EC8D20"/>
    <w:lvl w:ilvl="0" w:tplc="FFFFFFFF">
      <w:start w:val="5"/>
      <w:numFmt w:val="bullet"/>
      <w:lvlText w:val="-"/>
      <w:lvlJc w:val="left"/>
      <w:pPr>
        <w:ind w:left="1068" w:hanging="360"/>
      </w:pPr>
      <w:rPr>
        <w:rFonts w:ascii="Open Sans" w:eastAsiaTheme="minorHAnsi" w:hAnsi="Open Sans" w:cs="Open San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9027004">
    <w:abstractNumId w:val="34"/>
  </w:num>
  <w:num w:numId="2" w16cid:durableId="318309061">
    <w:abstractNumId w:val="5"/>
  </w:num>
  <w:num w:numId="3" w16cid:durableId="1531645211">
    <w:abstractNumId w:val="9"/>
  </w:num>
  <w:num w:numId="4" w16cid:durableId="395476418">
    <w:abstractNumId w:val="37"/>
  </w:num>
  <w:num w:numId="5" w16cid:durableId="1629320102">
    <w:abstractNumId w:val="40"/>
  </w:num>
  <w:num w:numId="6" w16cid:durableId="843132164">
    <w:abstractNumId w:val="21"/>
  </w:num>
  <w:num w:numId="7" w16cid:durableId="315651008">
    <w:abstractNumId w:val="17"/>
  </w:num>
  <w:num w:numId="8" w16cid:durableId="1242639827">
    <w:abstractNumId w:val="31"/>
  </w:num>
  <w:num w:numId="9" w16cid:durableId="1698962437">
    <w:abstractNumId w:val="36"/>
  </w:num>
  <w:num w:numId="10" w16cid:durableId="1000235628">
    <w:abstractNumId w:val="19"/>
  </w:num>
  <w:num w:numId="11" w16cid:durableId="1190293927">
    <w:abstractNumId w:val="39"/>
  </w:num>
  <w:num w:numId="12" w16cid:durableId="301497869">
    <w:abstractNumId w:val="20"/>
  </w:num>
  <w:num w:numId="13" w16cid:durableId="1497961261">
    <w:abstractNumId w:val="38"/>
  </w:num>
  <w:num w:numId="14" w16cid:durableId="797914932">
    <w:abstractNumId w:val="32"/>
  </w:num>
  <w:num w:numId="15" w16cid:durableId="579026078">
    <w:abstractNumId w:val="15"/>
  </w:num>
  <w:num w:numId="16" w16cid:durableId="700664885">
    <w:abstractNumId w:val="0"/>
  </w:num>
  <w:num w:numId="17" w16cid:durableId="1047267650">
    <w:abstractNumId w:val="28"/>
  </w:num>
  <w:num w:numId="18" w16cid:durableId="595141088">
    <w:abstractNumId w:val="2"/>
  </w:num>
  <w:num w:numId="19" w16cid:durableId="1538859955">
    <w:abstractNumId w:val="30"/>
  </w:num>
  <w:num w:numId="20" w16cid:durableId="649291814">
    <w:abstractNumId w:val="3"/>
  </w:num>
  <w:num w:numId="21" w16cid:durableId="1948803967">
    <w:abstractNumId w:val="12"/>
  </w:num>
  <w:num w:numId="22" w16cid:durableId="84350837">
    <w:abstractNumId w:val="1"/>
  </w:num>
  <w:num w:numId="23" w16cid:durableId="927346046">
    <w:abstractNumId w:val="11"/>
  </w:num>
  <w:num w:numId="24" w16cid:durableId="1280726106">
    <w:abstractNumId w:val="33"/>
  </w:num>
  <w:num w:numId="25" w16cid:durableId="1730883107">
    <w:abstractNumId w:val="6"/>
  </w:num>
  <w:num w:numId="26" w16cid:durableId="1650013283">
    <w:abstractNumId w:val="16"/>
  </w:num>
  <w:num w:numId="27" w16cid:durableId="1141776672">
    <w:abstractNumId w:val="25"/>
  </w:num>
  <w:num w:numId="28" w16cid:durableId="1706179742">
    <w:abstractNumId w:val="18"/>
  </w:num>
  <w:num w:numId="29" w16cid:durableId="288974567">
    <w:abstractNumId w:val="35"/>
  </w:num>
  <w:num w:numId="30" w16cid:durableId="1253903228">
    <w:abstractNumId w:val="23"/>
  </w:num>
  <w:num w:numId="31" w16cid:durableId="937714696">
    <w:abstractNumId w:val="8"/>
  </w:num>
  <w:num w:numId="32" w16cid:durableId="960501770">
    <w:abstractNumId w:val="7"/>
  </w:num>
  <w:num w:numId="33" w16cid:durableId="1745953179">
    <w:abstractNumId w:val="26"/>
  </w:num>
  <w:num w:numId="34" w16cid:durableId="995304763">
    <w:abstractNumId w:val="22"/>
  </w:num>
  <w:num w:numId="35" w16cid:durableId="1637373591">
    <w:abstractNumId w:val="13"/>
  </w:num>
  <w:num w:numId="36" w16cid:durableId="734815990">
    <w:abstractNumId w:val="29"/>
  </w:num>
  <w:num w:numId="37" w16cid:durableId="1552618098">
    <w:abstractNumId w:val="14"/>
  </w:num>
  <w:num w:numId="38" w16cid:durableId="1094862700">
    <w:abstractNumId w:val="42"/>
  </w:num>
  <w:num w:numId="39" w16cid:durableId="524711027">
    <w:abstractNumId w:val="24"/>
  </w:num>
  <w:num w:numId="40" w16cid:durableId="188762416">
    <w:abstractNumId w:val="4"/>
  </w:num>
  <w:num w:numId="41" w16cid:durableId="108545870">
    <w:abstractNumId w:val="27"/>
  </w:num>
  <w:num w:numId="42" w16cid:durableId="1416630188">
    <w:abstractNumId w:val="41"/>
  </w:num>
  <w:num w:numId="43" w16cid:durableId="1082065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21C08"/>
    <w:rsid w:val="00040184"/>
    <w:rsid w:val="00042A10"/>
    <w:rsid w:val="00053315"/>
    <w:rsid w:val="000574B6"/>
    <w:rsid w:val="0006126A"/>
    <w:rsid w:val="00066AFB"/>
    <w:rsid w:val="000675AE"/>
    <w:rsid w:val="00075567"/>
    <w:rsid w:val="000816C5"/>
    <w:rsid w:val="0008728A"/>
    <w:rsid w:val="000A06A7"/>
    <w:rsid w:val="000C4038"/>
    <w:rsid w:val="000D0407"/>
    <w:rsid w:val="000D19B5"/>
    <w:rsid w:val="000D77BB"/>
    <w:rsid w:val="000E4A6D"/>
    <w:rsid w:val="000E71BB"/>
    <w:rsid w:val="00101E7D"/>
    <w:rsid w:val="0010748A"/>
    <w:rsid w:val="00113076"/>
    <w:rsid w:val="00114811"/>
    <w:rsid w:val="00156772"/>
    <w:rsid w:val="0016141B"/>
    <w:rsid w:val="00164EC8"/>
    <w:rsid w:val="0017497A"/>
    <w:rsid w:val="00181756"/>
    <w:rsid w:val="00185932"/>
    <w:rsid w:val="00192777"/>
    <w:rsid w:val="0019680A"/>
    <w:rsid w:val="001A2328"/>
    <w:rsid w:val="001D7F24"/>
    <w:rsid w:val="001F2086"/>
    <w:rsid w:val="001F6B7A"/>
    <w:rsid w:val="001F6C75"/>
    <w:rsid w:val="002029F0"/>
    <w:rsid w:val="002166E3"/>
    <w:rsid w:val="00216ADA"/>
    <w:rsid w:val="002230EF"/>
    <w:rsid w:val="002355A9"/>
    <w:rsid w:val="00241259"/>
    <w:rsid w:val="002577DC"/>
    <w:rsid w:val="00257A0B"/>
    <w:rsid w:val="002640C5"/>
    <w:rsid w:val="0029299E"/>
    <w:rsid w:val="00294297"/>
    <w:rsid w:val="00295E1E"/>
    <w:rsid w:val="002C7B26"/>
    <w:rsid w:val="002D54B3"/>
    <w:rsid w:val="002E330A"/>
    <w:rsid w:val="002E59E4"/>
    <w:rsid w:val="00315AEF"/>
    <w:rsid w:val="0032192A"/>
    <w:rsid w:val="00331CB9"/>
    <w:rsid w:val="00335F7D"/>
    <w:rsid w:val="00336952"/>
    <w:rsid w:val="003402D4"/>
    <w:rsid w:val="00340C3D"/>
    <w:rsid w:val="00344BFA"/>
    <w:rsid w:val="00360576"/>
    <w:rsid w:val="0036701F"/>
    <w:rsid w:val="0037776D"/>
    <w:rsid w:val="003816E2"/>
    <w:rsid w:val="00391E51"/>
    <w:rsid w:val="00397A7D"/>
    <w:rsid w:val="003B5AEA"/>
    <w:rsid w:val="003D4DBD"/>
    <w:rsid w:val="003D5108"/>
    <w:rsid w:val="003E45D6"/>
    <w:rsid w:val="003F2459"/>
    <w:rsid w:val="00400795"/>
    <w:rsid w:val="0041069B"/>
    <w:rsid w:val="00414465"/>
    <w:rsid w:val="0041536D"/>
    <w:rsid w:val="00415653"/>
    <w:rsid w:val="00423DB5"/>
    <w:rsid w:val="00424E14"/>
    <w:rsid w:val="00437858"/>
    <w:rsid w:val="00445655"/>
    <w:rsid w:val="00446D1C"/>
    <w:rsid w:val="00447E06"/>
    <w:rsid w:val="004535DD"/>
    <w:rsid w:val="00456485"/>
    <w:rsid w:val="0046080A"/>
    <w:rsid w:val="0046498A"/>
    <w:rsid w:val="004653B3"/>
    <w:rsid w:val="00473757"/>
    <w:rsid w:val="00484057"/>
    <w:rsid w:val="004A60B2"/>
    <w:rsid w:val="004A7925"/>
    <w:rsid w:val="004B3C76"/>
    <w:rsid w:val="004D3BFB"/>
    <w:rsid w:val="004D526D"/>
    <w:rsid w:val="004D58FB"/>
    <w:rsid w:val="004F059B"/>
    <w:rsid w:val="00505D46"/>
    <w:rsid w:val="00511048"/>
    <w:rsid w:val="00517716"/>
    <w:rsid w:val="00522A4E"/>
    <w:rsid w:val="00526E89"/>
    <w:rsid w:val="00553F5B"/>
    <w:rsid w:val="00554CDD"/>
    <w:rsid w:val="0056528C"/>
    <w:rsid w:val="0057216A"/>
    <w:rsid w:val="00574C17"/>
    <w:rsid w:val="005772EE"/>
    <w:rsid w:val="00593C96"/>
    <w:rsid w:val="005A2812"/>
    <w:rsid w:val="005A556D"/>
    <w:rsid w:val="005B5F65"/>
    <w:rsid w:val="005C7F90"/>
    <w:rsid w:val="005E2DC1"/>
    <w:rsid w:val="005F5E37"/>
    <w:rsid w:val="005F6342"/>
    <w:rsid w:val="005F668B"/>
    <w:rsid w:val="00613C46"/>
    <w:rsid w:val="006178E1"/>
    <w:rsid w:val="00617DE1"/>
    <w:rsid w:val="00620A24"/>
    <w:rsid w:val="006242E8"/>
    <w:rsid w:val="00624355"/>
    <w:rsid w:val="0065229D"/>
    <w:rsid w:val="006758D6"/>
    <w:rsid w:val="0068283A"/>
    <w:rsid w:val="00685E8F"/>
    <w:rsid w:val="00693D80"/>
    <w:rsid w:val="006A1580"/>
    <w:rsid w:val="006A2C27"/>
    <w:rsid w:val="006A784A"/>
    <w:rsid w:val="006B7D18"/>
    <w:rsid w:val="006D77EF"/>
    <w:rsid w:val="006E0F62"/>
    <w:rsid w:val="006E1970"/>
    <w:rsid w:val="006E290C"/>
    <w:rsid w:val="006E34BE"/>
    <w:rsid w:val="006E3952"/>
    <w:rsid w:val="00703C8E"/>
    <w:rsid w:val="007047E9"/>
    <w:rsid w:val="00707ACA"/>
    <w:rsid w:val="00715314"/>
    <w:rsid w:val="0071581A"/>
    <w:rsid w:val="00722F4A"/>
    <w:rsid w:val="00730311"/>
    <w:rsid w:val="00737372"/>
    <w:rsid w:val="00744F0C"/>
    <w:rsid w:val="00756ADB"/>
    <w:rsid w:val="00756EF3"/>
    <w:rsid w:val="007620E1"/>
    <w:rsid w:val="00763B80"/>
    <w:rsid w:val="0077531F"/>
    <w:rsid w:val="0077736A"/>
    <w:rsid w:val="007B1C54"/>
    <w:rsid w:val="007C4C5F"/>
    <w:rsid w:val="007D0289"/>
    <w:rsid w:val="007D1C6B"/>
    <w:rsid w:val="007D2B44"/>
    <w:rsid w:val="007D788D"/>
    <w:rsid w:val="007E0196"/>
    <w:rsid w:val="007F54BD"/>
    <w:rsid w:val="00803CE2"/>
    <w:rsid w:val="00805215"/>
    <w:rsid w:val="00810B3F"/>
    <w:rsid w:val="00856EB0"/>
    <w:rsid w:val="00857CCA"/>
    <w:rsid w:val="008627A7"/>
    <w:rsid w:val="00874579"/>
    <w:rsid w:val="00875833"/>
    <w:rsid w:val="008868B0"/>
    <w:rsid w:val="008953F3"/>
    <w:rsid w:val="008959AC"/>
    <w:rsid w:val="008975C9"/>
    <w:rsid w:val="008A0A43"/>
    <w:rsid w:val="008A4443"/>
    <w:rsid w:val="008B0D95"/>
    <w:rsid w:val="008C7B6C"/>
    <w:rsid w:val="008D2C70"/>
    <w:rsid w:val="008D2F1A"/>
    <w:rsid w:val="008D4BA9"/>
    <w:rsid w:val="008D64A0"/>
    <w:rsid w:val="008E352C"/>
    <w:rsid w:val="008E497E"/>
    <w:rsid w:val="008F240B"/>
    <w:rsid w:val="008F5263"/>
    <w:rsid w:val="00917FA3"/>
    <w:rsid w:val="00922098"/>
    <w:rsid w:val="009224ED"/>
    <w:rsid w:val="00923D20"/>
    <w:rsid w:val="00935780"/>
    <w:rsid w:val="0095474E"/>
    <w:rsid w:val="00955012"/>
    <w:rsid w:val="009552A4"/>
    <w:rsid w:val="00965394"/>
    <w:rsid w:val="00971771"/>
    <w:rsid w:val="00971B0D"/>
    <w:rsid w:val="0098747A"/>
    <w:rsid w:val="009A223F"/>
    <w:rsid w:val="009A40AD"/>
    <w:rsid w:val="009A7135"/>
    <w:rsid w:val="009B220C"/>
    <w:rsid w:val="009B5795"/>
    <w:rsid w:val="009B5901"/>
    <w:rsid w:val="009C3BB0"/>
    <w:rsid w:val="009E01CA"/>
    <w:rsid w:val="009F6F63"/>
    <w:rsid w:val="00A05DAB"/>
    <w:rsid w:val="00A07F0F"/>
    <w:rsid w:val="00A221BD"/>
    <w:rsid w:val="00A351E1"/>
    <w:rsid w:val="00A45973"/>
    <w:rsid w:val="00A46501"/>
    <w:rsid w:val="00A523FD"/>
    <w:rsid w:val="00A60D0D"/>
    <w:rsid w:val="00A6156E"/>
    <w:rsid w:val="00A64C40"/>
    <w:rsid w:val="00A679C0"/>
    <w:rsid w:val="00A74E52"/>
    <w:rsid w:val="00A821EB"/>
    <w:rsid w:val="00A84793"/>
    <w:rsid w:val="00AA37E5"/>
    <w:rsid w:val="00AA6D0B"/>
    <w:rsid w:val="00AB6ED6"/>
    <w:rsid w:val="00AD2ED5"/>
    <w:rsid w:val="00AE0672"/>
    <w:rsid w:val="00B20871"/>
    <w:rsid w:val="00B21F2B"/>
    <w:rsid w:val="00B23D2C"/>
    <w:rsid w:val="00B319F6"/>
    <w:rsid w:val="00B515F6"/>
    <w:rsid w:val="00B60E14"/>
    <w:rsid w:val="00B65D0D"/>
    <w:rsid w:val="00B7208C"/>
    <w:rsid w:val="00B7551D"/>
    <w:rsid w:val="00B81924"/>
    <w:rsid w:val="00B859F8"/>
    <w:rsid w:val="00B87FDA"/>
    <w:rsid w:val="00BA46FE"/>
    <w:rsid w:val="00BB2365"/>
    <w:rsid w:val="00BB4174"/>
    <w:rsid w:val="00BC55F9"/>
    <w:rsid w:val="00BD2D40"/>
    <w:rsid w:val="00BD3C9B"/>
    <w:rsid w:val="00BE13DA"/>
    <w:rsid w:val="00BF4006"/>
    <w:rsid w:val="00BF5EFF"/>
    <w:rsid w:val="00C10179"/>
    <w:rsid w:val="00C2164B"/>
    <w:rsid w:val="00C339A7"/>
    <w:rsid w:val="00C35596"/>
    <w:rsid w:val="00C47FFE"/>
    <w:rsid w:val="00C53086"/>
    <w:rsid w:val="00C602F1"/>
    <w:rsid w:val="00C72083"/>
    <w:rsid w:val="00C817DE"/>
    <w:rsid w:val="00C94FEA"/>
    <w:rsid w:val="00CA39CE"/>
    <w:rsid w:val="00CA42B4"/>
    <w:rsid w:val="00CA5BF9"/>
    <w:rsid w:val="00CB57DD"/>
    <w:rsid w:val="00CD4A9B"/>
    <w:rsid w:val="00CD5A13"/>
    <w:rsid w:val="00CF47F5"/>
    <w:rsid w:val="00D01277"/>
    <w:rsid w:val="00D15FA7"/>
    <w:rsid w:val="00D23BBC"/>
    <w:rsid w:val="00D33339"/>
    <w:rsid w:val="00D34E13"/>
    <w:rsid w:val="00D4505C"/>
    <w:rsid w:val="00D452F7"/>
    <w:rsid w:val="00D54709"/>
    <w:rsid w:val="00D57852"/>
    <w:rsid w:val="00D6660C"/>
    <w:rsid w:val="00D7007F"/>
    <w:rsid w:val="00D7592C"/>
    <w:rsid w:val="00D76651"/>
    <w:rsid w:val="00DA7E84"/>
    <w:rsid w:val="00DC59F8"/>
    <w:rsid w:val="00DD34DC"/>
    <w:rsid w:val="00DE46C3"/>
    <w:rsid w:val="00DE7393"/>
    <w:rsid w:val="00E00DCA"/>
    <w:rsid w:val="00E0570F"/>
    <w:rsid w:val="00E31E5E"/>
    <w:rsid w:val="00E34156"/>
    <w:rsid w:val="00E34CB9"/>
    <w:rsid w:val="00E35801"/>
    <w:rsid w:val="00E4102B"/>
    <w:rsid w:val="00E43ACF"/>
    <w:rsid w:val="00E471C9"/>
    <w:rsid w:val="00E64B71"/>
    <w:rsid w:val="00E715C3"/>
    <w:rsid w:val="00E76F10"/>
    <w:rsid w:val="00E950D0"/>
    <w:rsid w:val="00E97B38"/>
    <w:rsid w:val="00EA4BF1"/>
    <w:rsid w:val="00EB2F5B"/>
    <w:rsid w:val="00EC5E09"/>
    <w:rsid w:val="00ED7A59"/>
    <w:rsid w:val="00ED7BC3"/>
    <w:rsid w:val="00EE5B5C"/>
    <w:rsid w:val="00EF11AF"/>
    <w:rsid w:val="00EF2221"/>
    <w:rsid w:val="00F107CD"/>
    <w:rsid w:val="00F13003"/>
    <w:rsid w:val="00F174BB"/>
    <w:rsid w:val="00F205F8"/>
    <w:rsid w:val="00F35956"/>
    <w:rsid w:val="00F41C05"/>
    <w:rsid w:val="00F42BD0"/>
    <w:rsid w:val="00F65239"/>
    <w:rsid w:val="00F90F16"/>
    <w:rsid w:val="00F938CE"/>
    <w:rsid w:val="00FA64E7"/>
    <w:rsid w:val="00FD6473"/>
    <w:rsid w:val="00FE1533"/>
    <w:rsid w:val="00FE66FF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BD2D40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602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602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602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02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02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ck-online.beck.de/?vpath=bibdata/komm/MuekoBGB_9_Band1/BGB/cont/MuekoBGB.BGB.p104.glV.gl1.gla.htm" TargetMode="External"/><Relationship Id="rId13" Type="http://schemas.openxmlformats.org/officeDocument/2006/relationships/hyperlink" Target="https://beck-online.beck.de/?vpath=bibdata/komm/JauKoBGB_18/BGB/cont/JauKoBGB.BGB.p105a.gl3.htm" TargetMode="External"/><Relationship Id="rId18" Type="http://schemas.openxmlformats.org/officeDocument/2006/relationships/hyperlink" Target="https://beck-online.beck.de/?vpath=bibdata%2Fkomm%2FMuekoBGB_9_Band1%2FBGB%2Fcont%2FMuekoBGB%2EBGB%2Ep105%2EglIII%2Eht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beck-online.beck.de/?vpath=bibdata%2Fkomm%2FJauKoBGB_18%2FBGB%2Fcont%2FJauKoBGB%2EBGB%2Ep105a%2Egl2%2Ehtm" TargetMode="External"/><Relationship Id="rId7" Type="http://schemas.openxmlformats.org/officeDocument/2006/relationships/hyperlink" Target="https://beck-online.beck.de/?vpath=bibdata%2Fkomm%2FMuekoBGB_9_Band1%2FBGB%2Fcont%2FMuekoBGB%2EBGB%2Ep131%2EglI%2Ehtm" TargetMode="External"/><Relationship Id="rId12" Type="http://schemas.openxmlformats.org/officeDocument/2006/relationships/hyperlink" Target="https://beck-online.beck.de/?vpath=bibdata%2Fkomm%2FMuekoBGB_9_Band1%2FBGB%2Fcont%2FMuekoBGB%2EBGB%2Ep105%2EglIII%2Ehtm" TargetMode="External"/><Relationship Id="rId17" Type="http://schemas.openxmlformats.org/officeDocument/2006/relationships/hyperlink" Target="https://beck-online.beck.de/?vpath=bibdata/komm/MuekoBGB_9_Band1/BGB/cont/MuekoBGB.BGB.p104.glV.gl1.gla.ht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eck-online.beck.de/?vpath=bibdata/komm/MuekoBGB_9_Band1/BGB/cont/MuekoBGB.BGB.p105a.glIII.htm" TargetMode="External"/><Relationship Id="rId20" Type="http://schemas.openxmlformats.org/officeDocument/2006/relationships/hyperlink" Target="https://beck-online.beck.de/?vpath=bibdata/komm/MuekoBGB_9_Band1/BGB/cont/MuekoBGB.BGB.p105a.glIII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ck-online.beck.de/?vpath=bibdata%2Fkomm%2FMuekoBGB_9_Band1%2FBGB%2Fcont%2FMuekoBGB%2EBGB%2Ep105%2EglIII%2Ehtm" TargetMode="External"/><Relationship Id="rId24" Type="http://schemas.openxmlformats.org/officeDocument/2006/relationships/hyperlink" Target="file:///C:\Users\jacks\Downloads\BGHZ%2018,%20184%20(186)%20=%20NJW%201955,%2017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eck-online.beck.de/?vpath=bibdata%2Fkomm%2FJauKoBGB_18%2FBGB%2Fcont%2FJauKoBGB%2EBGB%2Ep105a%2Egl2%2Ehtm" TargetMode="External"/><Relationship Id="rId23" Type="http://schemas.openxmlformats.org/officeDocument/2006/relationships/hyperlink" Target="https://beck-online.beck.de/?vpath=bibdata%2Fkomm%2FMuekoBGB_9_Band1%2FBGB%2Fcont%2FMuekoBGB%2EBGB%2Ep131%2EglI%2E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eck-online.beck.de/?vpath=bibdata/komm/MuekoBGB_9_Band1/BGB/cont/MuekoBGB.BGB.p104.glV.gl1.gla.htm" TargetMode="External"/><Relationship Id="rId19" Type="http://schemas.openxmlformats.org/officeDocument/2006/relationships/hyperlink" Target="https://beck-online.beck.de/?vpath=bibdata%2Fkomm%2FMuekoBGB_9_Band1%2FBGB%2Fcont%2FMuekoBGB%2EBGB%2Ep105%2EglIII%2E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ck-online.beck.de/Dokument?vpath=bibdata%2Fzeits%2Fnjw%2F1955%2Fcont%2Fnjw.1955.1714.1.htm&amp;anchor=Y-300-Z-BGHZ-B-18-S-186&amp;readable=1" TargetMode="External"/><Relationship Id="rId14" Type="http://schemas.openxmlformats.org/officeDocument/2006/relationships/hyperlink" Target="https://beck-online.beck.de/?vpath=bibdata/komm/MuekoBGB_9_Band1/BGB/cont/MuekoBGB.BGB.p105a.glII.gl2.htm" TargetMode="External"/><Relationship Id="rId22" Type="http://schemas.openxmlformats.org/officeDocument/2006/relationships/hyperlink" Target="https://beck-online.beck.de/?vpath=bibdata/komm/JauKoBGB_18/BGB/cont/JauKoBGB.BGB.p105a.gl3.ht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1496</Words>
  <Characters>9425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10</cp:revision>
  <cp:lastPrinted>2022-09-14T06:42:00Z</cp:lastPrinted>
  <dcterms:created xsi:type="dcterms:W3CDTF">2023-01-28T11:48:00Z</dcterms:created>
  <dcterms:modified xsi:type="dcterms:W3CDTF">2023-02-20T13:39:00Z</dcterms:modified>
</cp:coreProperties>
</file>