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7115" w14:textId="77777777" w:rsidR="00BD2E3C" w:rsidRPr="00715314" w:rsidRDefault="00BD2E3C" w:rsidP="00BD2E3C">
      <w:pPr>
        <w:jc w:val="both"/>
        <w:rPr>
          <w:rFonts w:ascii="Open Sans" w:hAnsi="Open Sans" w:cs="Open Sans"/>
          <w:b/>
          <w:bCs/>
          <w:sz w:val="36"/>
          <w:szCs w:val="36"/>
        </w:rPr>
      </w:pPr>
      <w:r w:rsidRPr="00715314">
        <w:rPr>
          <w:rFonts w:ascii="Open Sans" w:hAnsi="Open Sans" w:cs="Open Sans"/>
          <w:b/>
          <w:bCs/>
          <w:sz w:val="36"/>
          <w:szCs w:val="36"/>
        </w:rPr>
        <w:t>§</w:t>
      </w:r>
      <w:r>
        <w:rPr>
          <w:rFonts w:ascii="Open Sans" w:hAnsi="Open Sans" w:cs="Open Sans"/>
          <w:b/>
          <w:bCs/>
          <w:sz w:val="36"/>
          <w:szCs w:val="36"/>
        </w:rPr>
        <w:t>§</w:t>
      </w:r>
      <w:r w:rsidRPr="00715314">
        <w:rPr>
          <w:rFonts w:ascii="Open Sans" w:hAnsi="Open Sans" w:cs="Open Sans"/>
          <w:b/>
          <w:bCs/>
          <w:sz w:val="36"/>
          <w:szCs w:val="36"/>
        </w:rPr>
        <w:t xml:space="preserve"> </w:t>
      </w:r>
      <w:r>
        <w:rPr>
          <w:rFonts w:ascii="Open Sans" w:hAnsi="Open Sans" w:cs="Open Sans"/>
          <w:b/>
          <w:bCs/>
          <w:sz w:val="36"/>
          <w:szCs w:val="36"/>
        </w:rPr>
        <w:t>142, 119 ff. BGB</w:t>
      </w:r>
      <w:r w:rsidRPr="00715314">
        <w:rPr>
          <w:rFonts w:ascii="Open Sans" w:hAnsi="Open Sans" w:cs="Open Sans"/>
          <w:b/>
          <w:bCs/>
          <w:sz w:val="36"/>
          <w:szCs w:val="36"/>
        </w:rPr>
        <w:t xml:space="preserve"> – </w:t>
      </w:r>
      <w:r>
        <w:rPr>
          <w:rFonts w:ascii="Open Sans" w:hAnsi="Open Sans" w:cs="Open Sans"/>
          <w:b/>
          <w:bCs/>
          <w:sz w:val="36"/>
          <w:szCs w:val="36"/>
        </w:rPr>
        <w:t>Anfechtung</w:t>
      </w:r>
    </w:p>
    <w:p w14:paraId="45E43FC9" w14:textId="5007893A" w:rsidR="00715314" w:rsidRDefault="00715314" w:rsidP="00715314">
      <w:pPr>
        <w:pStyle w:val="SchemaDefinitionenHeader"/>
      </w:pPr>
      <w:r>
        <w:t>Kurzs</w:t>
      </w:r>
      <w:r w:rsidRPr="00A90E7F">
        <w:t>chema</w:t>
      </w:r>
    </w:p>
    <w:p w14:paraId="1D18C97C" w14:textId="6ECF19C2" w:rsidR="00715314" w:rsidRDefault="00715314" w:rsidP="00715314">
      <w:pPr>
        <w:pStyle w:val="SchemaDefinitionenHeader"/>
      </w:pPr>
    </w:p>
    <w:p w14:paraId="03A0DC1C" w14:textId="77777777" w:rsidR="009C4243" w:rsidRPr="001138D3" w:rsidRDefault="009C4243" w:rsidP="009C4243">
      <w:pPr>
        <w:pStyle w:val="SchemaDefinitionenHeader"/>
        <w:numPr>
          <w:ilvl w:val="0"/>
          <w:numId w:val="27"/>
        </w:numPr>
        <w:spacing w:line="256" w:lineRule="auto"/>
        <w:rPr>
          <w:b/>
          <w:bCs/>
          <w:color w:val="auto"/>
          <w:sz w:val="18"/>
          <w:szCs w:val="18"/>
        </w:rPr>
      </w:pPr>
      <w:r w:rsidRPr="001138D3">
        <w:rPr>
          <w:b/>
          <w:bCs/>
          <w:color w:val="auto"/>
          <w:sz w:val="18"/>
          <w:szCs w:val="18"/>
        </w:rPr>
        <w:t>Anspruch entstanden</w:t>
      </w:r>
    </w:p>
    <w:p w14:paraId="4D28C1D6" w14:textId="77777777" w:rsidR="009C4243" w:rsidRPr="001138D3" w:rsidRDefault="009C4243" w:rsidP="009C4243">
      <w:pPr>
        <w:pStyle w:val="SchemaDefinitionenHeader"/>
        <w:numPr>
          <w:ilvl w:val="0"/>
          <w:numId w:val="27"/>
        </w:numPr>
        <w:spacing w:line="256" w:lineRule="auto"/>
        <w:rPr>
          <w:b/>
          <w:bCs/>
          <w:color w:val="auto"/>
          <w:sz w:val="18"/>
          <w:szCs w:val="18"/>
        </w:rPr>
      </w:pPr>
      <w:r w:rsidRPr="001138D3">
        <w:rPr>
          <w:b/>
          <w:bCs/>
          <w:color w:val="auto"/>
          <w:sz w:val="18"/>
          <w:szCs w:val="18"/>
        </w:rPr>
        <w:t>Anspruch nicht erloschen</w:t>
      </w:r>
    </w:p>
    <w:p w14:paraId="0CBFB841" w14:textId="77777777" w:rsidR="009C4243" w:rsidRPr="001138D3" w:rsidRDefault="009C4243" w:rsidP="009C4243">
      <w:pPr>
        <w:pStyle w:val="SchemaDefinitionenHeader"/>
        <w:numPr>
          <w:ilvl w:val="0"/>
          <w:numId w:val="2"/>
        </w:numPr>
        <w:ind w:left="1080"/>
        <w:rPr>
          <w:rStyle w:val="Hyperlink"/>
          <w:b/>
          <w:bCs/>
          <w:color w:val="auto"/>
          <w:sz w:val="18"/>
          <w:szCs w:val="18"/>
          <w:u w:val="none"/>
        </w:rPr>
      </w:pPr>
      <w:r w:rsidRPr="001138D3">
        <w:rPr>
          <w:rStyle w:val="Hyperlink"/>
          <w:b/>
          <w:bCs/>
          <w:color w:val="auto"/>
          <w:sz w:val="18"/>
          <w:szCs w:val="18"/>
          <w:u w:val="none"/>
        </w:rPr>
        <w:t>Anwendbarkeit</w:t>
      </w:r>
    </w:p>
    <w:p w14:paraId="72D15939" w14:textId="77777777" w:rsidR="009C4243" w:rsidRPr="001138D3" w:rsidRDefault="009C4243" w:rsidP="009C4243">
      <w:pPr>
        <w:pStyle w:val="SchemaDefinitionenHeader"/>
        <w:numPr>
          <w:ilvl w:val="0"/>
          <w:numId w:val="2"/>
        </w:numPr>
        <w:ind w:left="1080"/>
        <w:rPr>
          <w:rStyle w:val="Hyperlink"/>
          <w:b/>
          <w:bCs/>
          <w:color w:val="auto"/>
          <w:sz w:val="18"/>
          <w:szCs w:val="18"/>
          <w:u w:val="none"/>
        </w:rPr>
      </w:pPr>
      <w:r w:rsidRPr="001138D3">
        <w:rPr>
          <w:rStyle w:val="Hyperlink"/>
          <w:b/>
          <w:bCs/>
          <w:color w:val="auto"/>
          <w:sz w:val="18"/>
          <w:szCs w:val="18"/>
          <w:u w:val="none"/>
        </w:rPr>
        <w:t>Zulässigkeit</w:t>
      </w:r>
    </w:p>
    <w:p w14:paraId="6FD3218E" w14:textId="77777777" w:rsidR="009C4243" w:rsidRPr="001138D3" w:rsidRDefault="009C4243" w:rsidP="009C4243">
      <w:pPr>
        <w:pStyle w:val="SchemaDefinitionenHeader"/>
        <w:numPr>
          <w:ilvl w:val="0"/>
          <w:numId w:val="2"/>
        </w:numPr>
        <w:ind w:left="1080"/>
        <w:rPr>
          <w:rStyle w:val="Hyperlink"/>
          <w:b/>
          <w:bCs/>
          <w:color w:val="auto"/>
          <w:sz w:val="18"/>
          <w:szCs w:val="18"/>
          <w:u w:val="none"/>
        </w:rPr>
      </w:pPr>
      <w:r w:rsidRPr="001138D3">
        <w:rPr>
          <w:rStyle w:val="Hyperlink"/>
          <w:b/>
          <w:bCs/>
          <w:color w:val="auto"/>
          <w:sz w:val="18"/>
          <w:szCs w:val="18"/>
          <w:u w:val="none"/>
        </w:rPr>
        <w:t>Anfechtungsgrund</w:t>
      </w:r>
    </w:p>
    <w:p w14:paraId="1A1C171F" w14:textId="03DD19D1" w:rsidR="009C4243" w:rsidRPr="001138D3" w:rsidRDefault="009C4243" w:rsidP="009C4243">
      <w:pPr>
        <w:pStyle w:val="SchemaDefinitionenHeader"/>
        <w:numPr>
          <w:ilvl w:val="1"/>
          <w:numId w:val="28"/>
        </w:numPr>
        <w:spacing w:line="256" w:lineRule="auto"/>
        <w:rPr>
          <w:i/>
          <w:iCs/>
          <w:color w:val="auto"/>
          <w:sz w:val="18"/>
          <w:szCs w:val="18"/>
        </w:rPr>
      </w:pPr>
      <w:r w:rsidRPr="001138D3">
        <w:rPr>
          <w:i/>
          <w:iCs/>
          <w:color w:val="auto"/>
          <w:sz w:val="18"/>
          <w:szCs w:val="18"/>
        </w:rPr>
        <w:t>Erklärungsirrtum, § 119 I BGB</w:t>
      </w:r>
    </w:p>
    <w:p w14:paraId="20CE8469" w14:textId="77777777" w:rsidR="009C4243" w:rsidRPr="001138D3" w:rsidRDefault="009C4243" w:rsidP="009C4243">
      <w:pPr>
        <w:pStyle w:val="SchemaDefinitionenHeader"/>
        <w:ind w:left="1440" w:firstLine="684"/>
        <w:rPr>
          <w:color w:val="auto"/>
          <w:sz w:val="18"/>
          <w:szCs w:val="18"/>
        </w:rPr>
      </w:pPr>
      <w:r w:rsidRPr="001138D3">
        <w:rPr>
          <w:b/>
          <w:bCs/>
          <w:color w:val="auto"/>
          <w:sz w:val="18"/>
          <w:szCs w:val="18"/>
        </w:rPr>
        <w:t xml:space="preserve">P: </w:t>
      </w:r>
      <w:r w:rsidRPr="001138D3">
        <w:rPr>
          <w:color w:val="auto"/>
          <w:sz w:val="18"/>
          <w:szCs w:val="18"/>
        </w:rPr>
        <w:t>Kalkulationsirrtum (Berechnungsirrtum)</w:t>
      </w:r>
    </w:p>
    <w:p w14:paraId="1B51CFF3" w14:textId="77777777" w:rsidR="009C4243" w:rsidRPr="001138D3" w:rsidRDefault="009C4243" w:rsidP="009C4243">
      <w:pPr>
        <w:pStyle w:val="SchemaDefinitionenHeader"/>
        <w:numPr>
          <w:ilvl w:val="1"/>
          <w:numId w:val="28"/>
        </w:numPr>
        <w:spacing w:line="256" w:lineRule="auto"/>
        <w:rPr>
          <w:i/>
          <w:iCs/>
          <w:color w:val="auto"/>
          <w:sz w:val="18"/>
          <w:szCs w:val="18"/>
        </w:rPr>
      </w:pPr>
      <w:r w:rsidRPr="001138D3">
        <w:rPr>
          <w:i/>
          <w:iCs/>
          <w:color w:val="auto"/>
          <w:sz w:val="18"/>
          <w:szCs w:val="18"/>
        </w:rPr>
        <w:t>Inhaltsirrtum, 119 I BGB</w:t>
      </w:r>
    </w:p>
    <w:p w14:paraId="23D7D5CF" w14:textId="77777777" w:rsidR="009C4243" w:rsidRPr="001138D3" w:rsidRDefault="009C4243" w:rsidP="009C4243">
      <w:pPr>
        <w:pStyle w:val="SchemaDefinitionenHeader"/>
        <w:numPr>
          <w:ilvl w:val="1"/>
          <w:numId w:val="28"/>
        </w:numPr>
        <w:spacing w:line="256" w:lineRule="auto"/>
        <w:rPr>
          <w:i/>
          <w:iCs/>
          <w:color w:val="auto"/>
          <w:sz w:val="18"/>
          <w:szCs w:val="18"/>
        </w:rPr>
      </w:pPr>
      <w:r w:rsidRPr="001138D3">
        <w:rPr>
          <w:i/>
          <w:iCs/>
          <w:color w:val="auto"/>
          <w:sz w:val="18"/>
          <w:szCs w:val="18"/>
        </w:rPr>
        <w:t>Eigenschaftsirrtum, § 119 II BGB</w:t>
      </w:r>
    </w:p>
    <w:p w14:paraId="577973BE" w14:textId="77777777" w:rsidR="009C4243" w:rsidRPr="001138D3" w:rsidRDefault="009C4243" w:rsidP="009C4243">
      <w:pPr>
        <w:pStyle w:val="SchemaDefinitionenHeader"/>
        <w:ind w:left="1464" w:firstLine="660"/>
        <w:rPr>
          <w:color w:val="auto"/>
          <w:sz w:val="18"/>
          <w:szCs w:val="18"/>
        </w:rPr>
      </w:pPr>
      <w:r w:rsidRPr="001138D3">
        <w:rPr>
          <w:b/>
          <w:bCs/>
          <w:color w:val="auto"/>
          <w:sz w:val="18"/>
          <w:szCs w:val="18"/>
        </w:rPr>
        <w:t xml:space="preserve">P: </w:t>
      </w:r>
      <w:r w:rsidRPr="001138D3">
        <w:rPr>
          <w:color w:val="auto"/>
          <w:sz w:val="18"/>
          <w:szCs w:val="18"/>
        </w:rPr>
        <w:t>Doppelirrtum</w:t>
      </w:r>
    </w:p>
    <w:p w14:paraId="695A20FA" w14:textId="77777777" w:rsidR="009C4243" w:rsidRPr="001138D3" w:rsidRDefault="009C4243" w:rsidP="009C4243">
      <w:pPr>
        <w:pStyle w:val="SchemaDefinitionenHeader"/>
        <w:ind w:left="2124"/>
        <w:rPr>
          <w:color w:val="auto"/>
          <w:sz w:val="18"/>
          <w:szCs w:val="18"/>
        </w:rPr>
      </w:pPr>
      <w:r w:rsidRPr="001138D3">
        <w:rPr>
          <w:b/>
          <w:bCs/>
          <w:color w:val="auto"/>
          <w:sz w:val="18"/>
          <w:szCs w:val="18"/>
        </w:rPr>
        <w:t>P:</w:t>
      </w:r>
      <w:r w:rsidRPr="001138D3">
        <w:rPr>
          <w:color w:val="auto"/>
          <w:sz w:val="18"/>
          <w:szCs w:val="18"/>
        </w:rPr>
        <w:t xml:space="preserve"> Motivirrtum</w:t>
      </w:r>
    </w:p>
    <w:p w14:paraId="23164250" w14:textId="77777777" w:rsidR="009C4243" w:rsidRPr="001138D3" w:rsidRDefault="009C4243" w:rsidP="009C4243">
      <w:pPr>
        <w:pStyle w:val="SchemaDefinitionenHeader"/>
        <w:numPr>
          <w:ilvl w:val="1"/>
          <w:numId w:val="28"/>
        </w:numPr>
        <w:spacing w:line="256" w:lineRule="auto"/>
        <w:rPr>
          <w:i/>
          <w:iCs/>
          <w:color w:val="auto"/>
          <w:sz w:val="18"/>
          <w:szCs w:val="18"/>
        </w:rPr>
      </w:pPr>
      <w:r w:rsidRPr="001138D3">
        <w:rPr>
          <w:i/>
          <w:iCs/>
          <w:color w:val="auto"/>
          <w:sz w:val="18"/>
          <w:szCs w:val="18"/>
        </w:rPr>
        <w:t>Übermittlungsirrtum, § 120 BGB</w:t>
      </w:r>
    </w:p>
    <w:p w14:paraId="27FAC151" w14:textId="77777777" w:rsidR="009C4243" w:rsidRPr="001138D3" w:rsidRDefault="009C4243" w:rsidP="009C4243">
      <w:pPr>
        <w:pStyle w:val="SchemaDefinitionenHeader"/>
        <w:numPr>
          <w:ilvl w:val="1"/>
          <w:numId w:val="28"/>
        </w:numPr>
        <w:spacing w:line="256" w:lineRule="auto"/>
        <w:rPr>
          <w:i/>
          <w:iCs/>
          <w:color w:val="auto"/>
          <w:sz w:val="18"/>
          <w:szCs w:val="18"/>
        </w:rPr>
      </w:pPr>
      <w:r w:rsidRPr="001138D3">
        <w:rPr>
          <w:i/>
          <w:iCs/>
          <w:color w:val="auto"/>
          <w:sz w:val="18"/>
          <w:szCs w:val="18"/>
        </w:rPr>
        <w:t>Arglistige Täuschung, § 123 I Alt. 1 BGB</w:t>
      </w:r>
    </w:p>
    <w:p w14:paraId="660D44F5" w14:textId="77777777" w:rsidR="009C4243" w:rsidRPr="001138D3" w:rsidRDefault="009C4243" w:rsidP="009C4243">
      <w:pPr>
        <w:pStyle w:val="SchemaDefinitionenHeader"/>
        <w:numPr>
          <w:ilvl w:val="1"/>
          <w:numId w:val="28"/>
        </w:numPr>
        <w:spacing w:line="256" w:lineRule="auto"/>
        <w:rPr>
          <w:i/>
          <w:iCs/>
          <w:color w:val="auto"/>
          <w:sz w:val="18"/>
          <w:szCs w:val="18"/>
        </w:rPr>
      </w:pPr>
      <w:r w:rsidRPr="001138D3">
        <w:rPr>
          <w:i/>
          <w:iCs/>
          <w:color w:val="auto"/>
          <w:sz w:val="18"/>
          <w:szCs w:val="18"/>
        </w:rPr>
        <w:t>Widerrechtliche Drohung, § 123 I Alt. 2 BGB</w:t>
      </w:r>
    </w:p>
    <w:p w14:paraId="0966D94C" w14:textId="77777777" w:rsidR="009C4243" w:rsidRPr="001138D3" w:rsidRDefault="009C4243" w:rsidP="009C4243">
      <w:pPr>
        <w:pStyle w:val="SchemaDefinitionenHeader"/>
        <w:numPr>
          <w:ilvl w:val="0"/>
          <w:numId w:val="2"/>
        </w:numPr>
        <w:ind w:left="1080"/>
        <w:rPr>
          <w:rStyle w:val="Hyperlink"/>
          <w:b/>
          <w:bCs/>
          <w:color w:val="auto"/>
          <w:sz w:val="18"/>
          <w:szCs w:val="18"/>
          <w:u w:val="none"/>
        </w:rPr>
      </w:pPr>
      <w:r w:rsidRPr="001138D3">
        <w:rPr>
          <w:rStyle w:val="Hyperlink"/>
          <w:b/>
          <w:bCs/>
          <w:color w:val="auto"/>
          <w:sz w:val="18"/>
          <w:szCs w:val="18"/>
          <w:u w:val="none"/>
        </w:rPr>
        <w:t xml:space="preserve">Anfechtungserklärung gegenüber dem richtigen Anfechtungsgegner, </w:t>
      </w:r>
      <w:r w:rsidRPr="001138D3">
        <w:rPr>
          <w:rStyle w:val="Hyperlink"/>
          <w:b/>
          <w:bCs/>
          <w:color w:val="auto"/>
          <w:sz w:val="18"/>
          <w:szCs w:val="18"/>
          <w:u w:val="none"/>
        </w:rPr>
        <w:br/>
        <w:t>§ 143 I BGB</w:t>
      </w:r>
    </w:p>
    <w:p w14:paraId="49AADCE0" w14:textId="77777777" w:rsidR="009C4243" w:rsidRPr="001138D3" w:rsidRDefault="009C4243" w:rsidP="009C4243">
      <w:pPr>
        <w:pStyle w:val="SchemaDefinitionenHeader"/>
        <w:numPr>
          <w:ilvl w:val="0"/>
          <w:numId w:val="2"/>
        </w:numPr>
        <w:ind w:left="1080"/>
        <w:rPr>
          <w:rStyle w:val="Hyperlink"/>
          <w:b/>
          <w:bCs/>
          <w:color w:val="auto"/>
          <w:sz w:val="18"/>
          <w:szCs w:val="18"/>
          <w:u w:val="none"/>
        </w:rPr>
      </w:pPr>
      <w:r w:rsidRPr="001138D3">
        <w:rPr>
          <w:rStyle w:val="Hyperlink"/>
          <w:b/>
          <w:bCs/>
          <w:color w:val="auto"/>
          <w:sz w:val="18"/>
          <w:szCs w:val="18"/>
          <w:u w:val="none"/>
        </w:rPr>
        <w:t>Anfechtungsfrist</w:t>
      </w:r>
    </w:p>
    <w:p w14:paraId="0AB0879D" w14:textId="77777777" w:rsidR="009C4243" w:rsidRPr="001138D3" w:rsidRDefault="009C4243" w:rsidP="009C4243">
      <w:pPr>
        <w:pStyle w:val="SchemaDefinitionenHeader"/>
        <w:numPr>
          <w:ilvl w:val="0"/>
          <w:numId w:val="2"/>
        </w:numPr>
        <w:ind w:left="1080"/>
        <w:rPr>
          <w:rStyle w:val="Hyperlink"/>
          <w:b/>
          <w:bCs/>
          <w:color w:val="auto"/>
          <w:sz w:val="18"/>
          <w:szCs w:val="18"/>
          <w:u w:val="none"/>
        </w:rPr>
      </w:pPr>
      <w:r w:rsidRPr="001138D3">
        <w:rPr>
          <w:rStyle w:val="Hyperlink"/>
          <w:b/>
          <w:bCs/>
          <w:color w:val="auto"/>
          <w:sz w:val="18"/>
          <w:szCs w:val="18"/>
          <w:u w:val="none"/>
        </w:rPr>
        <w:t>Kein Ausschluss der Anfechtung</w:t>
      </w:r>
    </w:p>
    <w:p w14:paraId="63107D93" w14:textId="77777777" w:rsidR="009C4243" w:rsidRPr="001138D3" w:rsidRDefault="009C4243" w:rsidP="009C4243">
      <w:pPr>
        <w:pStyle w:val="SchemaDefinitionenHeader"/>
        <w:numPr>
          <w:ilvl w:val="0"/>
          <w:numId w:val="2"/>
        </w:numPr>
        <w:ind w:left="1080"/>
        <w:rPr>
          <w:rStyle w:val="Hyperlink"/>
          <w:b/>
          <w:bCs/>
          <w:color w:val="auto"/>
          <w:sz w:val="18"/>
          <w:szCs w:val="18"/>
          <w:u w:val="none"/>
        </w:rPr>
      </w:pPr>
      <w:r w:rsidRPr="001138D3">
        <w:rPr>
          <w:rStyle w:val="Hyperlink"/>
          <w:b/>
          <w:bCs/>
          <w:color w:val="auto"/>
          <w:sz w:val="18"/>
          <w:szCs w:val="18"/>
          <w:u w:val="none"/>
        </w:rPr>
        <w:t xml:space="preserve">Rechtsfolge: Nichtigkeit ex </w:t>
      </w:r>
      <w:proofErr w:type="spellStart"/>
      <w:r w:rsidRPr="001138D3">
        <w:rPr>
          <w:rStyle w:val="Hyperlink"/>
          <w:b/>
          <w:bCs/>
          <w:color w:val="auto"/>
          <w:sz w:val="18"/>
          <w:szCs w:val="18"/>
          <w:u w:val="none"/>
        </w:rPr>
        <w:t>tunc</w:t>
      </w:r>
      <w:proofErr w:type="spellEnd"/>
      <w:r w:rsidRPr="001138D3">
        <w:rPr>
          <w:rStyle w:val="Hyperlink"/>
          <w:b/>
          <w:bCs/>
          <w:color w:val="auto"/>
          <w:sz w:val="18"/>
          <w:szCs w:val="18"/>
          <w:u w:val="none"/>
        </w:rPr>
        <w:t xml:space="preserve"> gemäß § 142 I BGB</w:t>
      </w:r>
    </w:p>
    <w:p w14:paraId="40EF3CE0" w14:textId="1F9D6239" w:rsidR="00715314" w:rsidRPr="009C4243" w:rsidRDefault="009C4243" w:rsidP="009C4243">
      <w:pPr>
        <w:pStyle w:val="SchemaDefinitionenHeader"/>
        <w:numPr>
          <w:ilvl w:val="0"/>
          <w:numId w:val="27"/>
        </w:numPr>
        <w:spacing w:line="256" w:lineRule="auto"/>
        <w:rPr>
          <w:b/>
          <w:bCs/>
          <w:color w:val="auto"/>
        </w:rPr>
      </w:pPr>
      <w:r w:rsidRPr="001138D3">
        <w:rPr>
          <w:b/>
          <w:bCs/>
          <w:color w:val="auto"/>
          <w:sz w:val="18"/>
          <w:szCs w:val="18"/>
        </w:rPr>
        <w:t>Anspruch durchsetzbar</w:t>
      </w:r>
      <w:r w:rsidR="00715314" w:rsidRPr="009C4243">
        <w:rPr>
          <w:b/>
          <w:bCs/>
          <w:sz w:val="36"/>
          <w:szCs w:val="36"/>
        </w:rPr>
        <w:br w:type="page"/>
      </w:r>
    </w:p>
    <w:p w14:paraId="5037A6D9" w14:textId="20F7DC2E" w:rsidR="00D01277" w:rsidRPr="00715314" w:rsidRDefault="008953F3" w:rsidP="00D01277">
      <w:pPr>
        <w:jc w:val="both"/>
        <w:rPr>
          <w:rFonts w:ascii="Open Sans" w:hAnsi="Open Sans" w:cs="Open Sans"/>
          <w:b/>
          <w:bCs/>
          <w:sz w:val="36"/>
          <w:szCs w:val="36"/>
        </w:rPr>
      </w:pPr>
      <w:r w:rsidRPr="00715314">
        <w:rPr>
          <w:rFonts w:ascii="Open Sans" w:hAnsi="Open Sans" w:cs="Open Sans"/>
          <w:b/>
          <w:bCs/>
          <w:sz w:val="36"/>
          <w:szCs w:val="36"/>
        </w:rPr>
        <w:lastRenderedPageBreak/>
        <w:t>§</w:t>
      </w:r>
      <w:r w:rsidR="00BF57DB">
        <w:rPr>
          <w:rFonts w:ascii="Open Sans" w:hAnsi="Open Sans" w:cs="Open Sans"/>
          <w:b/>
          <w:bCs/>
          <w:sz w:val="36"/>
          <w:szCs w:val="36"/>
        </w:rPr>
        <w:t>§</w:t>
      </w:r>
      <w:r w:rsidRPr="00715314">
        <w:rPr>
          <w:rFonts w:ascii="Open Sans" w:hAnsi="Open Sans" w:cs="Open Sans"/>
          <w:b/>
          <w:bCs/>
          <w:sz w:val="36"/>
          <w:szCs w:val="36"/>
        </w:rPr>
        <w:t xml:space="preserve"> </w:t>
      </w:r>
      <w:r w:rsidR="003F7D60">
        <w:rPr>
          <w:rFonts w:ascii="Open Sans" w:hAnsi="Open Sans" w:cs="Open Sans"/>
          <w:b/>
          <w:bCs/>
          <w:sz w:val="36"/>
          <w:szCs w:val="36"/>
        </w:rPr>
        <w:t>142</w:t>
      </w:r>
      <w:r w:rsidR="00BF57DB">
        <w:rPr>
          <w:rFonts w:ascii="Open Sans" w:hAnsi="Open Sans" w:cs="Open Sans"/>
          <w:b/>
          <w:bCs/>
          <w:sz w:val="36"/>
          <w:szCs w:val="36"/>
        </w:rPr>
        <w:t>, 119 ff.</w:t>
      </w:r>
      <w:r w:rsidR="003F7D60">
        <w:rPr>
          <w:rFonts w:ascii="Open Sans" w:hAnsi="Open Sans" w:cs="Open Sans"/>
          <w:b/>
          <w:bCs/>
          <w:sz w:val="36"/>
          <w:szCs w:val="36"/>
        </w:rPr>
        <w:t xml:space="preserve"> BGB</w:t>
      </w:r>
      <w:r w:rsidRPr="00715314">
        <w:rPr>
          <w:rFonts w:ascii="Open Sans" w:hAnsi="Open Sans" w:cs="Open Sans"/>
          <w:b/>
          <w:bCs/>
          <w:sz w:val="36"/>
          <w:szCs w:val="36"/>
        </w:rPr>
        <w:t xml:space="preserve"> </w:t>
      </w:r>
      <w:r w:rsidR="00D01277" w:rsidRPr="00715314">
        <w:rPr>
          <w:rFonts w:ascii="Open Sans" w:hAnsi="Open Sans" w:cs="Open Sans"/>
          <w:b/>
          <w:bCs/>
          <w:sz w:val="36"/>
          <w:szCs w:val="36"/>
        </w:rPr>
        <w:t xml:space="preserve">– </w:t>
      </w:r>
      <w:r w:rsidR="003F7D60">
        <w:rPr>
          <w:rFonts w:ascii="Open Sans" w:hAnsi="Open Sans" w:cs="Open Sans"/>
          <w:b/>
          <w:bCs/>
          <w:sz w:val="36"/>
          <w:szCs w:val="36"/>
        </w:rPr>
        <w:t>Anfechtung</w:t>
      </w:r>
    </w:p>
    <w:p w14:paraId="0208BC8F" w14:textId="0FB48206" w:rsidR="00D01277" w:rsidRDefault="00D01277" w:rsidP="00D01277">
      <w:pPr>
        <w:pStyle w:val="SchemaDefinitionenHeader"/>
      </w:pPr>
      <w:r w:rsidRPr="00A90E7F">
        <w:t>Schema</w:t>
      </w:r>
    </w:p>
    <w:p w14:paraId="243678BE" w14:textId="77777777" w:rsidR="00D01277" w:rsidRDefault="00D01277" w:rsidP="00D01277">
      <w:pPr>
        <w:pStyle w:val="Tatbestandberschriften"/>
        <w:tabs>
          <w:tab w:val="left" w:pos="3965"/>
        </w:tabs>
        <w:spacing w:after="0"/>
      </w:pPr>
    </w:p>
    <w:p w14:paraId="3A759192" w14:textId="0B30C0BF" w:rsidR="00C33C47" w:rsidRPr="00FF36D7" w:rsidRDefault="00D01277" w:rsidP="00D01277">
      <w:pPr>
        <w:pStyle w:val="Tatbestandberschriften"/>
        <w:tabs>
          <w:tab w:val="left" w:pos="3965"/>
        </w:tabs>
        <w:spacing w:after="0"/>
        <w:rPr>
          <w:b w:val="0"/>
        </w:rPr>
      </w:pPr>
      <w:bookmarkStart w:id="0" w:name="_Hlk77701656"/>
      <w:r>
        <w:t xml:space="preserve">Merke: </w:t>
      </w:r>
      <w:bookmarkEnd w:id="0"/>
      <w:r w:rsidR="00C33C47" w:rsidRPr="00C33C47">
        <w:rPr>
          <w:b w:val="0"/>
          <w:bCs/>
        </w:rPr>
        <w:t>Die Anfechtung ist ein Gestaltungsrecht, muss also erklärt werden, vgl. § 143 BGB.</w:t>
      </w:r>
      <w:r w:rsidR="00C33C47">
        <w:rPr>
          <w:b w:val="0"/>
          <w:highlight w:val="yellow"/>
        </w:rPr>
        <w:t xml:space="preserve"> </w:t>
      </w:r>
      <w:r w:rsidR="00C33C47" w:rsidRPr="00FF36D7">
        <w:rPr>
          <w:b w:val="0"/>
        </w:rPr>
        <w:t xml:space="preserve">Nach wirksamer Anfechtung ist das angefochtene Rechtsgeschäft als von Anfang an (ex </w:t>
      </w:r>
      <w:proofErr w:type="spellStart"/>
      <w:r w:rsidR="00C33C47" w:rsidRPr="00FF36D7">
        <w:rPr>
          <w:b w:val="0"/>
        </w:rPr>
        <w:t>tunc</w:t>
      </w:r>
      <w:proofErr w:type="spellEnd"/>
      <w:r w:rsidR="00C33C47" w:rsidRPr="00FF36D7">
        <w:rPr>
          <w:b w:val="0"/>
        </w:rPr>
        <w:t xml:space="preserve"> = rückwirkend) als nichtig anzusehen, vgl. § 142 BGB. Somit wird die Anfechtung als rechtsvernichtende Einwendung </w:t>
      </w:r>
      <w:r w:rsidR="00F81286">
        <w:rPr>
          <w:b w:val="0"/>
        </w:rPr>
        <w:t>i</w:t>
      </w:r>
      <w:r w:rsidR="00C33C47" w:rsidRPr="00FF36D7">
        <w:rPr>
          <w:b w:val="0"/>
        </w:rPr>
        <w:t xml:space="preserve">m Rahmen des Punktes </w:t>
      </w:r>
      <w:r w:rsidR="00F81286">
        <w:rPr>
          <w:b w:val="0"/>
        </w:rPr>
        <w:t>„</w:t>
      </w:r>
      <w:r w:rsidR="00C33C47" w:rsidRPr="00FF36D7">
        <w:rPr>
          <w:b w:val="0"/>
        </w:rPr>
        <w:t xml:space="preserve">Anspruch </w:t>
      </w:r>
      <w:r w:rsidR="00F81286">
        <w:rPr>
          <w:b w:val="0"/>
        </w:rPr>
        <w:t xml:space="preserve">nicht </w:t>
      </w:r>
      <w:r w:rsidR="00C33C47" w:rsidRPr="00FF36D7">
        <w:rPr>
          <w:b w:val="0"/>
        </w:rPr>
        <w:t>erloschen</w:t>
      </w:r>
      <w:r w:rsidR="00F81286">
        <w:rPr>
          <w:b w:val="0"/>
        </w:rPr>
        <w:t>“</w:t>
      </w:r>
      <w:r w:rsidR="00C33C47" w:rsidRPr="00FF36D7">
        <w:rPr>
          <w:b w:val="0"/>
        </w:rPr>
        <w:t xml:space="preserve"> geprüft. </w:t>
      </w:r>
      <w:r w:rsidR="00FF36D7" w:rsidRPr="00FF36D7">
        <w:rPr>
          <w:b w:val="0"/>
        </w:rPr>
        <w:t>Ganz wichtig ist es, das Trennungs- und Abstraktionsprinzip zu beachten</w:t>
      </w:r>
      <w:r w:rsidR="00CB2C5C">
        <w:rPr>
          <w:b w:val="0"/>
        </w:rPr>
        <w:t>.</w:t>
      </w:r>
    </w:p>
    <w:p w14:paraId="772A30DA" w14:textId="09C5B58D" w:rsidR="00FF36D7" w:rsidRDefault="00FF36D7" w:rsidP="00D01277">
      <w:pPr>
        <w:pStyle w:val="Tatbestandberschriften"/>
        <w:tabs>
          <w:tab w:val="left" w:pos="3965"/>
        </w:tabs>
        <w:spacing w:after="0"/>
        <w:rPr>
          <w:b w:val="0"/>
          <w:highlight w:val="yellow"/>
        </w:rPr>
      </w:pPr>
    </w:p>
    <w:p w14:paraId="1AA34FF8" w14:textId="56073A00" w:rsidR="00B22339" w:rsidRDefault="00B22339" w:rsidP="00D01277">
      <w:pPr>
        <w:pStyle w:val="Tatbestandberschriften"/>
        <w:tabs>
          <w:tab w:val="left" w:pos="3965"/>
        </w:tabs>
        <w:spacing w:after="0"/>
      </w:pPr>
    </w:p>
    <w:p w14:paraId="6E490144" w14:textId="101C04C1" w:rsidR="00CB2C5C" w:rsidRPr="00CB2C5C" w:rsidRDefault="00CB2C5C" w:rsidP="001138D3">
      <w:pPr>
        <w:pStyle w:val="SchemaDefinitionenHeader"/>
        <w:numPr>
          <w:ilvl w:val="0"/>
          <w:numId w:val="29"/>
        </w:numPr>
        <w:rPr>
          <w:b/>
          <w:bCs/>
          <w:color w:val="auto"/>
        </w:rPr>
      </w:pPr>
      <w:r w:rsidRPr="00CB2C5C">
        <w:rPr>
          <w:b/>
          <w:bCs/>
          <w:color w:val="auto"/>
        </w:rPr>
        <w:t>Anspruch entstanden</w:t>
      </w:r>
    </w:p>
    <w:p w14:paraId="524A48D9" w14:textId="59582F41" w:rsidR="00CB2C5C" w:rsidRPr="00CB2C5C" w:rsidRDefault="00CB2C5C" w:rsidP="001138D3">
      <w:pPr>
        <w:pStyle w:val="SchemaDefinitionenHeader"/>
        <w:numPr>
          <w:ilvl w:val="0"/>
          <w:numId w:val="29"/>
        </w:numPr>
        <w:rPr>
          <w:b/>
          <w:bCs/>
          <w:color w:val="auto"/>
        </w:rPr>
      </w:pPr>
      <w:r w:rsidRPr="00CB2C5C">
        <w:rPr>
          <w:b/>
          <w:bCs/>
          <w:color w:val="auto"/>
        </w:rPr>
        <w:t xml:space="preserve">Anspruch </w:t>
      </w:r>
      <w:r w:rsidR="00F81286">
        <w:rPr>
          <w:b/>
          <w:bCs/>
          <w:color w:val="auto"/>
        </w:rPr>
        <w:t xml:space="preserve">nicht </w:t>
      </w:r>
      <w:r w:rsidRPr="00CB2C5C">
        <w:rPr>
          <w:b/>
          <w:bCs/>
          <w:color w:val="auto"/>
        </w:rPr>
        <w:t>erloschen</w:t>
      </w:r>
    </w:p>
    <w:p w14:paraId="1658A30B" w14:textId="56EBB7EF" w:rsidR="00CB2C5C" w:rsidRPr="00FE26F1" w:rsidRDefault="00CB2C5C" w:rsidP="00CB2C5C">
      <w:pPr>
        <w:pStyle w:val="Tatbestandberschriften"/>
        <w:tabs>
          <w:tab w:val="left" w:pos="3965"/>
        </w:tabs>
        <w:spacing w:after="0"/>
        <w:ind w:left="720"/>
        <w:rPr>
          <w:b w:val="0"/>
          <w:bCs/>
        </w:rPr>
      </w:pPr>
      <w:r w:rsidRPr="00FE26F1">
        <w:rPr>
          <w:b w:val="0"/>
          <w:bCs/>
        </w:rPr>
        <w:t xml:space="preserve">Die Anfechtung wird als rechtsvernichtende Einwendung im Rahmen „Anspruch </w:t>
      </w:r>
      <w:r w:rsidR="00F81286">
        <w:rPr>
          <w:b w:val="0"/>
          <w:bCs/>
        </w:rPr>
        <w:t xml:space="preserve">nicht </w:t>
      </w:r>
      <w:r w:rsidRPr="00FE26F1">
        <w:rPr>
          <w:b w:val="0"/>
          <w:bCs/>
        </w:rPr>
        <w:t>erloschen“ geprüft.</w:t>
      </w:r>
    </w:p>
    <w:p w14:paraId="4E7CB33C" w14:textId="77777777" w:rsidR="00CB2C5C" w:rsidRDefault="00CB2C5C" w:rsidP="00CB2C5C">
      <w:pPr>
        <w:pStyle w:val="Tatbestandberschriften"/>
        <w:tabs>
          <w:tab w:val="left" w:pos="3965"/>
        </w:tabs>
        <w:spacing w:after="0"/>
        <w:ind w:left="720"/>
      </w:pPr>
    </w:p>
    <w:p w14:paraId="5A3A84D6" w14:textId="79784447" w:rsidR="00D01277" w:rsidRDefault="00B22339" w:rsidP="001138D3">
      <w:pPr>
        <w:pStyle w:val="SchemaDefinitionenHeader"/>
        <w:numPr>
          <w:ilvl w:val="0"/>
          <w:numId w:val="30"/>
        </w:numPr>
        <w:rPr>
          <w:b/>
          <w:bCs/>
          <w:color w:val="auto"/>
        </w:rPr>
      </w:pPr>
      <w:r>
        <w:rPr>
          <w:b/>
          <w:bCs/>
          <w:color w:val="auto"/>
        </w:rPr>
        <w:t>Anwendbarkeit</w:t>
      </w:r>
    </w:p>
    <w:p w14:paraId="5739F750" w14:textId="6CE1F8E6" w:rsidR="00BF57DB" w:rsidRPr="005A4600" w:rsidRDefault="00BF57DB" w:rsidP="00BF57DB">
      <w:pPr>
        <w:pStyle w:val="SchemaDefinitionenHeader"/>
        <w:ind w:left="720"/>
        <w:rPr>
          <w:color w:val="auto"/>
        </w:rPr>
      </w:pPr>
      <w:r w:rsidRPr="005A4600">
        <w:rPr>
          <w:color w:val="auto"/>
        </w:rPr>
        <w:t>Eine Anfechtung wegen einem Eigenschaftsirrtum nach § 119 II BGB wird im Kaufrecht von den spezielleren Normen §§ 434 ff. BGB verdrängt.</w:t>
      </w:r>
    </w:p>
    <w:p w14:paraId="06CE3B29" w14:textId="77777777" w:rsidR="00BF57DB" w:rsidRDefault="00BF57DB" w:rsidP="00BF57DB">
      <w:pPr>
        <w:pStyle w:val="SchemaDefinitionenHeader"/>
        <w:ind w:left="720"/>
        <w:rPr>
          <w:b/>
          <w:bCs/>
          <w:color w:val="auto"/>
        </w:rPr>
      </w:pPr>
    </w:p>
    <w:p w14:paraId="14ED801A" w14:textId="1575A811" w:rsidR="00B22339" w:rsidRDefault="00B22339" w:rsidP="001138D3">
      <w:pPr>
        <w:pStyle w:val="SchemaDefinitionenHeader"/>
        <w:numPr>
          <w:ilvl w:val="0"/>
          <w:numId w:val="30"/>
        </w:numPr>
        <w:rPr>
          <w:b/>
          <w:bCs/>
          <w:color w:val="auto"/>
        </w:rPr>
      </w:pPr>
      <w:r>
        <w:rPr>
          <w:b/>
          <w:bCs/>
          <w:color w:val="auto"/>
        </w:rPr>
        <w:t>Zulässigkeit</w:t>
      </w:r>
    </w:p>
    <w:p w14:paraId="5DBD5D14" w14:textId="6EFB8A33" w:rsidR="005A4600" w:rsidRPr="005A4600" w:rsidRDefault="005A4600" w:rsidP="005A4600">
      <w:pPr>
        <w:pStyle w:val="SchemaDefinitionenHeader"/>
        <w:ind w:left="720"/>
        <w:rPr>
          <w:color w:val="auto"/>
        </w:rPr>
      </w:pPr>
      <w:r w:rsidRPr="005A4600">
        <w:rPr>
          <w:color w:val="auto"/>
        </w:rPr>
        <w:t>Anfechtbar sind Willenserklärungen. Für geschäftsähnliche Handlungen sind die Regelungen analog anzuwenden. Ein Realakt ist nicht anfechtbar.</w:t>
      </w:r>
    </w:p>
    <w:p w14:paraId="42F1B293" w14:textId="77777777" w:rsidR="005A4600" w:rsidRDefault="005A4600" w:rsidP="005A4600">
      <w:pPr>
        <w:pStyle w:val="SchemaDefinitionenHeader"/>
        <w:ind w:left="720"/>
        <w:rPr>
          <w:b/>
          <w:bCs/>
          <w:color w:val="auto"/>
        </w:rPr>
      </w:pPr>
    </w:p>
    <w:p w14:paraId="02DF44A2" w14:textId="77777777" w:rsidR="00964D21" w:rsidRDefault="00B22339" w:rsidP="001138D3">
      <w:pPr>
        <w:pStyle w:val="SchemaDefinitionenHeader"/>
        <w:numPr>
          <w:ilvl w:val="0"/>
          <w:numId w:val="30"/>
        </w:numPr>
        <w:rPr>
          <w:b/>
          <w:bCs/>
          <w:color w:val="auto"/>
        </w:rPr>
      </w:pPr>
      <w:r>
        <w:rPr>
          <w:b/>
          <w:bCs/>
          <w:color w:val="auto"/>
        </w:rPr>
        <w:t>Anfechtungsgrund</w:t>
      </w:r>
    </w:p>
    <w:p w14:paraId="5F132FFE" w14:textId="4999E65A" w:rsidR="00964D21" w:rsidRPr="00964D21" w:rsidRDefault="00964D21" w:rsidP="00964D21">
      <w:pPr>
        <w:pStyle w:val="SchemaDefinitionenHeader"/>
        <w:ind w:left="1080"/>
        <w:rPr>
          <w:b/>
          <w:bCs/>
          <w:color w:val="auto"/>
        </w:rPr>
      </w:pPr>
      <w:r w:rsidRPr="00964D21">
        <w:rPr>
          <w:iCs/>
          <w:color w:val="auto"/>
        </w:rPr>
        <w:t xml:space="preserve">Ein Irrtum ist jedes unbewusste Auseinanderfallen </w:t>
      </w:r>
      <w:r w:rsidR="001138D3" w:rsidRPr="00964D21">
        <w:rPr>
          <w:iCs/>
          <w:color w:val="auto"/>
        </w:rPr>
        <w:t>von Willen</w:t>
      </w:r>
      <w:r w:rsidRPr="00964D21">
        <w:rPr>
          <w:iCs/>
          <w:color w:val="auto"/>
        </w:rPr>
        <w:t xml:space="preserve"> und Erklärung.</w:t>
      </w:r>
    </w:p>
    <w:p w14:paraId="616E49D4" w14:textId="77777777" w:rsidR="00964D21" w:rsidRPr="00964D21" w:rsidRDefault="00964D21" w:rsidP="00964D21">
      <w:pPr>
        <w:pStyle w:val="SchemaDefinitionenHeader"/>
        <w:ind w:left="1800"/>
        <w:rPr>
          <w:iCs/>
          <w:color w:val="auto"/>
        </w:rPr>
      </w:pPr>
    </w:p>
    <w:p w14:paraId="3B55D20C" w14:textId="26B0A31D" w:rsidR="00CB2C5C" w:rsidRDefault="00B22339" w:rsidP="001138D3">
      <w:pPr>
        <w:pStyle w:val="SchemaDefinitionenHeader"/>
        <w:numPr>
          <w:ilvl w:val="1"/>
          <w:numId w:val="30"/>
        </w:numPr>
        <w:rPr>
          <w:i/>
          <w:iCs/>
          <w:color w:val="auto"/>
        </w:rPr>
      </w:pPr>
      <w:r w:rsidRPr="00CB2C5C">
        <w:rPr>
          <w:i/>
          <w:iCs/>
          <w:color w:val="auto"/>
        </w:rPr>
        <w:t>Erklärungsirrtum, § 119 I BGB</w:t>
      </w:r>
    </w:p>
    <w:p w14:paraId="72DD97DF" w14:textId="44AD9C68" w:rsidR="00964D21" w:rsidRDefault="00964D21" w:rsidP="00964D21">
      <w:pPr>
        <w:pStyle w:val="SchemaDefinitionenHeader"/>
        <w:ind w:left="1800"/>
        <w:rPr>
          <w:iCs/>
          <w:color w:val="auto"/>
        </w:rPr>
      </w:pPr>
      <w:r>
        <w:rPr>
          <w:iCs/>
          <w:color w:val="auto"/>
        </w:rPr>
        <w:t xml:space="preserve">Ein </w:t>
      </w:r>
      <w:r w:rsidRPr="001138D3">
        <w:rPr>
          <w:i/>
          <w:color w:val="auto"/>
        </w:rPr>
        <w:t>Erklärungsirrtum</w:t>
      </w:r>
      <w:r>
        <w:rPr>
          <w:iCs/>
          <w:color w:val="auto"/>
        </w:rPr>
        <w:t xml:space="preserve"> liegt vor, wenn der Erklärende sich zwar sicher ist, was er erklären möchte, allerdings bei Abgabe der Erklärung irrt, indem er sich verschreibt, vertippt, verspricht. „Er weiß nicht, was er sagt“</w:t>
      </w:r>
      <w:r w:rsidR="005D6182">
        <w:rPr>
          <w:iCs/>
          <w:color w:val="auto"/>
        </w:rPr>
        <w:t xml:space="preserve"> (</w:t>
      </w:r>
      <w:proofErr w:type="spellStart"/>
      <w:r w:rsidR="005D6182" w:rsidRPr="005D6182">
        <w:rPr>
          <w:iCs/>
          <w:color w:val="auto"/>
        </w:rPr>
        <w:t>JuS</w:t>
      </w:r>
      <w:proofErr w:type="spellEnd"/>
      <w:r w:rsidR="005D6182" w:rsidRPr="005D6182">
        <w:rPr>
          <w:iCs/>
          <w:color w:val="auto"/>
        </w:rPr>
        <w:t xml:space="preserve"> 2014, 491</w:t>
      </w:r>
      <w:r w:rsidR="005D6182">
        <w:rPr>
          <w:iCs/>
          <w:color w:val="auto"/>
        </w:rPr>
        <w:t xml:space="preserve"> (493)).</w:t>
      </w:r>
    </w:p>
    <w:p w14:paraId="69F9804B" w14:textId="59058FAB" w:rsidR="0054209F" w:rsidRDefault="00FE26F1" w:rsidP="005D6182">
      <w:pPr>
        <w:pStyle w:val="SchemaDefinitionenHeader"/>
        <w:ind w:left="1800"/>
        <w:rPr>
          <w:iCs/>
          <w:color w:val="auto"/>
        </w:rPr>
      </w:pPr>
      <w:r>
        <w:rPr>
          <w:iCs/>
          <w:color w:val="auto"/>
        </w:rPr>
        <w:t>Weiter ist eine Kausalität zwischen dem Irrtum und dem Inhalt der Erklärung zu prüfen.</w:t>
      </w:r>
    </w:p>
    <w:p w14:paraId="2C83D816" w14:textId="348676E8" w:rsidR="00FE26F1" w:rsidRPr="0054209F" w:rsidRDefault="0054209F" w:rsidP="00976D2C">
      <w:pPr>
        <w:rPr>
          <w:iCs/>
        </w:rPr>
      </w:pPr>
      <w:r>
        <w:rPr>
          <w:iCs/>
        </w:rPr>
        <w:br w:type="page"/>
      </w:r>
    </w:p>
    <w:p w14:paraId="2AA56564" w14:textId="382052A3" w:rsidR="008940E5" w:rsidRDefault="2F364BE4" w:rsidP="2F364BE4">
      <w:pPr>
        <w:pStyle w:val="SchemaDefinitionenHeader"/>
        <w:ind w:left="1800" w:firstLine="324"/>
        <w:rPr>
          <w:color w:val="auto"/>
        </w:rPr>
      </w:pPr>
      <w:r w:rsidRPr="2F364BE4">
        <w:rPr>
          <w:b/>
          <w:bCs/>
          <w:color w:val="auto"/>
        </w:rPr>
        <w:lastRenderedPageBreak/>
        <w:t xml:space="preserve">P: </w:t>
      </w:r>
      <w:r w:rsidRPr="2F364BE4">
        <w:rPr>
          <w:color w:val="auto"/>
        </w:rPr>
        <w:t>Kalkulationsirrtum (Berechnungsirrtum; vgl. NJW 1998, 3192)</w:t>
      </w:r>
    </w:p>
    <w:p w14:paraId="1A6DFBC1" w14:textId="77777777" w:rsidR="00833AED" w:rsidRDefault="00833AED" w:rsidP="00833AED">
      <w:pPr>
        <w:pStyle w:val="SchemaDefinitionenHeader"/>
        <w:ind w:left="2124"/>
        <w:rPr>
          <w:color w:val="auto"/>
        </w:rPr>
      </w:pPr>
      <w:r>
        <w:rPr>
          <w:color w:val="auto"/>
        </w:rPr>
        <w:t xml:space="preserve">Der Kalkulationsirrtum kann als </w:t>
      </w:r>
      <w:r w:rsidRPr="004513CA">
        <w:rPr>
          <w:i/>
          <w:iCs/>
          <w:color w:val="auto"/>
        </w:rPr>
        <w:t>offener</w:t>
      </w:r>
      <w:r>
        <w:rPr>
          <w:color w:val="auto"/>
        </w:rPr>
        <w:t xml:space="preserve"> und </w:t>
      </w:r>
      <w:r w:rsidRPr="004513CA">
        <w:rPr>
          <w:i/>
          <w:iCs/>
          <w:color w:val="auto"/>
        </w:rPr>
        <w:t>verdeckter</w:t>
      </w:r>
      <w:r>
        <w:rPr>
          <w:color w:val="auto"/>
        </w:rPr>
        <w:t xml:space="preserve"> Kalkulationsirrtum auftauchen. </w:t>
      </w:r>
    </w:p>
    <w:p w14:paraId="7DA26D05" w14:textId="77777777" w:rsidR="0054209F" w:rsidRDefault="0054209F" w:rsidP="00833AED">
      <w:pPr>
        <w:pStyle w:val="SchemaDefinitionenHeader"/>
        <w:ind w:left="2124"/>
        <w:rPr>
          <w:color w:val="auto"/>
        </w:rPr>
      </w:pPr>
    </w:p>
    <w:p w14:paraId="1ED4C52F" w14:textId="10878E4C" w:rsidR="0054209F" w:rsidRDefault="00833AED" w:rsidP="0054209F">
      <w:pPr>
        <w:pStyle w:val="SchemaDefinitionenHeader"/>
        <w:ind w:left="2124"/>
        <w:rPr>
          <w:color w:val="auto"/>
        </w:rPr>
      </w:pPr>
      <w:r>
        <w:rPr>
          <w:color w:val="auto"/>
        </w:rPr>
        <w:t xml:space="preserve">Beim </w:t>
      </w:r>
      <w:r w:rsidRPr="004513CA">
        <w:rPr>
          <w:i/>
          <w:iCs/>
          <w:color w:val="auto"/>
        </w:rPr>
        <w:t>offenen Kalkulationsirrtum</w:t>
      </w:r>
      <w:r>
        <w:rPr>
          <w:color w:val="auto"/>
        </w:rPr>
        <w:t xml:space="preserve"> wird aus der Willenserklärung oder aus den Begleitumständen deutlich, dass ein Fehler in der Berechnung vorliegt. Hier kommt oft die Auslegung zu dem Ergebnis, dass der Irrtum unbeachtlich ist („</w:t>
      </w:r>
      <w:proofErr w:type="spellStart"/>
      <w:r>
        <w:rPr>
          <w:color w:val="auto"/>
        </w:rPr>
        <w:t>falsa</w:t>
      </w:r>
      <w:proofErr w:type="spellEnd"/>
      <w:r>
        <w:rPr>
          <w:color w:val="auto"/>
        </w:rPr>
        <w:t xml:space="preserve"> </w:t>
      </w:r>
      <w:proofErr w:type="spellStart"/>
      <w:r>
        <w:rPr>
          <w:color w:val="auto"/>
        </w:rPr>
        <w:t>demonstratio</w:t>
      </w:r>
      <w:proofErr w:type="spellEnd"/>
      <w:r>
        <w:rPr>
          <w:color w:val="auto"/>
        </w:rPr>
        <w:t xml:space="preserve"> non </w:t>
      </w:r>
      <w:proofErr w:type="spellStart"/>
      <w:r>
        <w:rPr>
          <w:color w:val="auto"/>
        </w:rPr>
        <w:t>nocet</w:t>
      </w:r>
      <w:proofErr w:type="spellEnd"/>
      <w:r>
        <w:rPr>
          <w:color w:val="auto"/>
        </w:rPr>
        <w:t xml:space="preserve">“), also das wirklich Gemeinte gilt. </w:t>
      </w:r>
    </w:p>
    <w:p w14:paraId="392D0C40" w14:textId="77777777" w:rsidR="0054209F" w:rsidRDefault="0054209F" w:rsidP="0054209F">
      <w:pPr>
        <w:pStyle w:val="SchemaDefinitionenHeader"/>
        <w:ind w:left="2124"/>
        <w:rPr>
          <w:color w:val="auto"/>
        </w:rPr>
      </w:pPr>
    </w:p>
    <w:p w14:paraId="63117426" w14:textId="77777777" w:rsidR="00833AED" w:rsidRDefault="00833AED" w:rsidP="00976D2C">
      <w:pPr>
        <w:pStyle w:val="SchemaDefinitionenHeader"/>
        <w:ind w:left="1416" w:firstLine="708"/>
        <w:rPr>
          <w:color w:val="auto"/>
        </w:rPr>
      </w:pPr>
      <w:r>
        <w:rPr>
          <w:color w:val="auto"/>
        </w:rPr>
        <w:t xml:space="preserve">Ist dies nicht der Fall, so ist </w:t>
      </w:r>
      <w:proofErr w:type="spellStart"/>
      <w:r>
        <w:rPr>
          <w:color w:val="auto"/>
        </w:rPr>
        <w:t>str.</w:t>
      </w:r>
      <w:proofErr w:type="spellEnd"/>
      <w:r>
        <w:rPr>
          <w:color w:val="auto"/>
        </w:rPr>
        <w:t xml:space="preserve">, ob der Erklärende anfechten kann. </w:t>
      </w:r>
    </w:p>
    <w:p w14:paraId="36708DB5" w14:textId="77777777" w:rsidR="0054209F" w:rsidRDefault="0054209F" w:rsidP="00833AED">
      <w:pPr>
        <w:pStyle w:val="SchemaDefinitionenHeader"/>
        <w:ind w:left="2832"/>
        <w:rPr>
          <w:color w:val="auto"/>
        </w:rPr>
      </w:pPr>
    </w:p>
    <w:p w14:paraId="50F5793C" w14:textId="3B6AC37D" w:rsidR="0054209F" w:rsidRDefault="0054209F" w:rsidP="0054209F">
      <w:pPr>
        <w:pStyle w:val="SchemaDefinitionenHeader"/>
        <w:ind w:left="2832"/>
        <w:rPr>
          <w:color w:val="auto"/>
        </w:rPr>
      </w:pPr>
      <w:r w:rsidRPr="00976D2C">
        <w:rPr>
          <w:i/>
          <w:iCs/>
          <w:color w:val="auto"/>
        </w:rPr>
        <w:t>Herrschende Meinung</w:t>
      </w:r>
      <w:r w:rsidR="008A3A0E" w:rsidRPr="00B459C4">
        <w:rPr>
          <w:i/>
          <w:iCs/>
          <w:color w:val="auto"/>
        </w:rPr>
        <w:t>:</w:t>
      </w:r>
    </w:p>
    <w:p w14:paraId="2FA1C227" w14:textId="77777777" w:rsidR="00833AED" w:rsidRPr="0054209F" w:rsidRDefault="00833AED" w:rsidP="0054209F">
      <w:pPr>
        <w:pStyle w:val="SchemaDefinitionenHeader"/>
        <w:ind w:left="2832"/>
        <w:rPr>
          <w:color w:val="auto"/>
        </w:rPr>
      </w:pPr>
      <w:r w:rsidRPr="0054209F">
        <w:rPr>
          <w:color w:val="auto"/>
        </w:rPr>
        <w:t xml:space="preserve">Nach der </w:t>
      </w:r>
      <w:r w:rsidRPr="0054209F">
        <w:rPr>
          <w:i/>
          <w:iCs/>
          <w:color w:val="auto"/>
        </w:rPr>
        <w:t>herrschenden Meinung</w:t>
      </w:r>
      <w:r w:rsidRPr="0054209F">
        <w:rPr>
          <w:color w:val="auto"/>
        </w:rPr>
        <w:t xml:space="preserve"> kommt eine Anfechtung nicht in Betracht, da es sich um einen Fehler in der Willensbildung, nicht in der Willensäußerung handelt. Somit handelt es sich um einen bloßen Motivirrtum, das Risiko trägt der Erklärende (Jauernig/Mansel, § 119 </w:t>
      </w:r>
      <w:proofErr w:type="spellStart"/>
      <w:r w:rsidRPr="0054209F">
        <w:rPr>
          <w:color w:val="auto"/>
        </w:rPr>
        <w:t>Rn</w:t>
      </w:r>
      <w:proofErr w:type="spellEnd"/>
      <w:r w:rsidRPr="0054209F">
        <w:rPr>
          <w:color w:val="auto"/>
        </w:rPr>
        <w:t xml:space="preserve">. 10). </w:t>
      </w:r>
    </w:p>
    <w:p w14:paraId="6BA21EAB" w14:textId="77777777" w:rsidR="00833AED" w:rsidRDefault="00833AED" w:rsidP="00833AED">
      <w:pPr>
        <w:pStyle w:val="SchemaDefinitionenHeader"/>
        <w:ind w:left="2832" w:firstLine="12"/>
        <w:rPr>
          <w:color w:val="auto"/>
        </w:rPr>
      </w:pPr>
      <w:r>
        <w:rPr>
          <w:color w:val="auto"/>
        </w:rPr>
        <w:t xml:space="preserve">Eine Ausnahme kommt in Betracht, wenn durch die falsche Berechnung die Geschäftsgrundlage für die Parteien wegfällt (§ 313 BGB) oder die fehlende Anfechtung für den Erklärenden ruinöse Folgen hätte (§ 242 BGB). </w:t>
      </w:r>
    </w:p>
    <w:p w14:paraId="5E9BCAE7" w14:textId="4054898A" w:rsidR="008A3A0E" w:rsidRDefault="008A3A0E" w:rsidP="00833AED">
      <w:pPr>
        <w:pStyle w:val="SchemaDefinitionenHeader"/>
        <w:ind w:left="2832" w:firstLine="12"/>
        <w:rPr>
          <w:color w:val="auto"/>
        </w:rPr>
      </w:pPr>
    </w:p>
    <w:p w14:paraId="049565B5" w14:textId="3B4A13A4" w:rsidR="008A3A0E" w:rsidRPr="00976D2C" w:rsidRDefault="008A3A0E" w:rsidP="00833AED">
      <w:pPr>
        <w:pStyle w:val="SchemaDefinitionenHeader"/>
        <w:ind w:left="2832" w:firstLine="12"/>
        <w:rPr>
          <w:i/>
          <w:iCs/>
          <w:color w:val="auto"/>
        </w:rPr>
      </w:pPr>
      <w:r w:rsidRPr="00976D2C">
        <w:rPr>
          <w:i/>
          <w:iCs/>
          <w:color w:val="auto"/>
        </w:rPr>
        <w:t>Andere Ansicht:</w:t>
      </w:r>
    </w:p>
    <w:p w14:paraId="07B5F530" w14:textId="773F7150" w:rsidR="0054209F" w:rsidRDefault="00833AED" w:rsidP="00833AED">
      <w:pPr>
        <w:pStyle w:val="SchemaDefinitionenHeader"/>
        <w:ind w:left="2832" w:firstLine="12"/>
        <w:rPr>
          <w:color w:val="auto"/>
        </w:rPr>
      </w:pPr>
      <w:r>
        <w:rPr>
          <w:color w:val="auto"/>
        </w:rPr>
        <w:t xml:space="preserve">Nach einer </w:t>
      </w:r>
      <w:r w:rsidRPr="004513CA">
        <w:rPr>
          <w:i/>
          <w:iCs/>
          <w:color w:val="auto"/>
        </w:rPr>
        <w:t>anderen Ansicht</w:t>
      </w:r>
      <w:r>
        <w:rPr>
          <w:color w:val="auto"/>
        </w:rPr>
        <w:t xml:space="preserve"> erfolgt die Anfechtung nach </w:t>
      </w:r>
      <w:r w:rsidR="008A3A0E">
        <w:rPr>
          <w:color w:val="auto"/>
        </w:rPr>
        <w:br/>
      </w:r>
      <w:r>
        <w:rPr>
          <w:color w:val="auto"/>
        </w:rPr>
        <w:t>§ 119 I BGB (Inhaltsirrtum), da es keinen Unterschied mache, ob sich derjenige verspricht oder verrechnet (RGZ 105, 406 ff)</w:t>
      </w:r>
      <w:r w:rsidR="0054209F">
        <w:rPr>
          <w:color w:val="auto"/>
        </w:rPr>
        <w:t>.</w:t>
      </w:r>
    </w:p>
    <w:p w14:paraId="457F716B" w14:textId="09DA7000" w:rsidR="00833AED" w:rsidRDefault="00833AED" w:rsidP="00833AED">
      <w:pPr>
        <w:pStyle w:val="SchemaDefinitionenHeader"/>
        <w:ind w:left="2832" w:firstLine="12"/>
        <w:rPr>
          <w:color w:val="auto"/>
        </w:rPr>
      </w:pPr>
    </w:p>
    <w:p w14:paraId="452EF3E8" w14:textId="1C075E75" w:rsidR="007A5513" w:rsidRDefault="00833AED" w:rsidP="00833AED">
      <w:pPr>
        <w:pStyle w:val="SchemaDefinitionenHeader"/>
        <w:ind w:left="2124"/>
        <w:rPr>
          <w:color w:val="auto"/>
        </w:rPr>
      </w:pPr>
      <w:r>
        <w:rPr>
          <w:color w:val="auto"/>
        </w:rPr>
        <w:t xml:space="preserve">Auch der </w:t>
      </w:r>
      <w:r w:rsidRPr="004513CA">
        <w:rPr>
          <w:i/>
          <w:iCs/>
          <w:color w:val="auto"/>
        </w:rPr>
        <w:t>verdeckte Kalkulationsirrtum</w:t>
      </w:r>
      <w:r>
        <w:rPr>
          <w:color w:val="auto"/>
        </w:rPr>
        <w:t xml:space="preserve"> ist in seiner Behandlung umstritten. Er liegt vor, wenn dem anderen Teil gerade nicht bewusst ist, dass sich der andere irrt, z</w:t>
      </w:r>
      <w:r w:rsidR="0053009D">
        <w:rPr>
          <w:color w:val="auto"/>
        </w:rPr>
        <w:t>.</w:t>
      </w:r>
      <w:r>
        <w:rPr>
          <w:color w:val="auto"/>
        </w:rPr>
        <w:t xml:space="preserve">B. wenn sich der Erklärende verrechnet, aber seine Berechnungsgrundlage nicht </w:t>
      </w:r>
      <w:r w:rsidR="007A5513">
        <w:rPr>
          <w:color w:val="auto"/>
        </w:rPr>
        <w:t>offenlegt</w:t>
      </w:r>
      <w:r>
        <w:rPr>
          <w:color w:val="auto"/>
        </w:rPr>
        <w:t xml:space="preserve">. </w:t>
      </w:r>
    </w:p>
    <w:p w14:paraId="62BB58F3" w14:textId="2B7710C2" w:rsidR="00833AED" w:rsidRPr="007A5513" w:rsidRDefault="007A5513" w:rsidP="00976D2C">
      <w:r>
        <w:br w:type="page"/>
      </w:r>
    </w:p>
    <w:p w14:paraId="5F6036B9" w14:textId="130A163D" w:rsidR="007A5513" w:rsidRPr="00976D2C" w:rsidRDefault="007A5513" w:rsidP="00833AED">
      <w:pPr>
        <w:pStyle w:val="SchemaDefinitionenHeader"/>
        <w:ind w:left="2832"/>
        <w:rPr>
          <w:i/>
          <w:iCs/>
          <w:color w:val="auto"/>
        </w:rPr>
      </w:pPr>
      <w:r w:rsidRPr="00976D2C">
        <w:rPr>
          <w:i/>
          <w:iCs/>
          <w:color w:val="auto"/>
        </w:rPr>
        <w:lastRenderedPageBreak/>
        <w:t>Herrschende Meinung:</w:t>
      </w:r>
    </w:p>
    <w:p w14:paraId="354FE38C" w14:textId="61BF79A8" w:rsidR="00833AED" w:rsidRDefault="00833AED" w:rsidP="00833AED">
      <w:pPr>
        <w:pStyle w:val="SchemaDefinitionenHeader"/>
        <w:ind w:left="2832"/>
        <w:rPr>
          <w:color w:val="auto"/>
        </w:rPr>
      </w:pPr>
      <w:r>
        <w:rPr>
          <w:color w:val="auto"/>
        </w:rPr>
        <w:t xml:space="preserve">Hier geht </w:t>
      </w:r>
      <w:r w:rsidRPr="004513CA">
        <w:rPr>
          <w:i/>
          <w:iCs/>
          <w:color w:val="auto"/>
        </w:rPr>
        <w:t>die ganz herrschende</w:t>
      </w:r>
      <w:r>
        <w:rPr>
          <w:color w:val="auto"/>
        </w:rPr>
        <w:t xml:space="preserve"> Meinung davon aus, dass es sich um einen unbeachtlichen Motivirrtum handelt, der nicht zur Anfechtung berechtigt. Eine Ausnahme wird zumeist nur dann gemacht, wenn ansonsten ruinöse Folgen für den Erklärenden drohen, § 242 BGB (BGH NJW 1998, 3192).</w:t>
      </w:r>
    </w:p>
    <w:p w14:paraId="34BA5288" w14:textId="77777777" w:rsidR="007A5513" w:rsidRDefault="007A5513" w:rsidP="00833AED">
      <w:pPr>
        <w:pStyle w:val="SchemaDefinitionenHeader"/>
        <w:ind w:left="2832"/>
        <w:rPr>
          <w:color w:val="auto"/>
        </w:rPr>
      </w:pPr>
    </w:p>
    <w:p w14:paraId="33DD6CE4" w14:textId="2D866482" w:rsidR="007A5513" w:rsidRPr="00976D2C" w:rsidRDefault="007A5513" w:rsidP="00833AED">
      <w:pPr>
        <w:pStyle w:val="SchemaDefinitionenHeader"/>
        <w:ind w:left="2832"/>
        <w:rPr>
          <w:i/>
          <w:iCs/>
          <w:color w:val="auto"/>
        </w:rPr>
      </w:pPr>
      <w:r w:rsidRPr="00976D2C">
        <w:rPr>
          <w:i/>
          <w:iCs/>
          <w:color w:val="auto"/>
        </w:rPr>
        <w:t>Mindermeinung:</w:t>
      </w:r>
    </w:p>
    <w:p w14:paraId="54D94AA6" w14:textId="77777777" w:rsidR="00833AED" w:rsidRPr="006A013A" w:rsidRDefault="00833AED" w:rsidP="00833AED">
      <w:pPr>
        <w:pStyle w:val="SchemaDefinitionenHeader"/>
        <w:ind w:left="2832"/>
        <w:rPr>
          <w:color w:val="auto"/>
        </w:rPr>
      </w:pPr>
      <w:r>
        <w:rPr>
          <w:color w:val="auto"/>
        </w:rPr>
        <w:t xml:space="preserve">Eine </w:t>
      </w:r>
      <w:r w:rsidRPr="004513CA">
        <w:rPr>
          <w:i/>
          <w:iCs/>
          <w:color w:val="auto"/>
        </w:rPr>
        <w:t>Mindermeinung</w:t>
      </w:r>
      <w:r>
        <w:rPr>
          <w:color w:val="auto"/>
        </w:rPr>
        <w:t xml:space="preserve"> diskutiert, ob man nicht auch dann eine Ausnahme machen kann, wenn der andere Teil hätte erkennen müssen, dass sich der Erklärende verrechnet hat. Dies wird jedoch abgelehnt, da dies dem Risikobereich des Erklärenden zuzuordnen ist (BGH NJW 1998, 3192).</w:t>
      </w:r>
    </w:p>
    <w:p w14:paraId="4B0F05F7" w14:textId="77777777" w:rsidR="00833AED" w:rsidRPr="006A013A" w:rsidRDefault="00833AED" w:rsidP="00976D2C">
      <w:pPr>
        <w:pStyle w:val="SchemaDefinitionenHeader"/>
        <w:rPr>
          <w:color w:val="auto"/>
        </w:rPr>
      </w:pPr>
    </w:p>
    <w:p w14:paraId="616D3DA9" w14:textId="477AB0B5" w:rsidR="00964D21" w:rsidRDefault="00B22339" w:rsidP="001138D3">
      <w:pPr>
        <w:pStyle w:val="SchemaDefinitionenHeader"/>
        <w:numPr>
          <w:ilvl w:val="1"/>
          <w:numId w:val="30"/>
        </w:numPr>
        <w:rPr>
          <w:i/>
          <w:iCs/>
          <w:color w:val="auto"/>
        </w:rPr>
      </w:pPr>
      <w:r w:rsidRPr="00CB2C5C">
        <w:rPr>
          <w:i/>
          <w:iCs/>
          <w:color w:val="auto"/>
        </w:rPr>
        <w:t>Inhaltsirrtum, 119 I BGB</w:t>
      </w:r>
    </w:p>
    <w:p w14:paraId="48D9E805" w14:textId="282C4232" w:rsidR="00964D21" w:rsidRDefault="00964D21" w:rsidP="00964D21">
      <w:pPr>
        <w:pStyle w:val="SchemaDefinitionenHeader"/>
        <w:ind w:left="1800"/>
        <w:rPr>
          <w:iCs/>
          <w:color w:val="auto"/>
        </w:rPr>
      </w:pPr>
      <w:r>
        <w:rPr>
          <w:iCs/>
          <w:color w:val="auto"/>
        </w:rPr>
        <w:t xml:space="preserve">Ein </w:t>
      </w:r>
      <w:r w:rsidRPr="001138D3">
        <w:rPr>
          <w:i/>
          <w:color w:val="auto"/>
        </w:rPr>
        <w:t>Inhaltsirrtum</w:t>
      </w:r>
      <w:r>
        <w:rPr>
          <w:iCs/>
          <w:color w:val="auto"/>
        </w:rPr>
        <w:t xml:space="preserve"> liegt vor, wenn der Erklärende weiß, was er ausdrücken möchte, aber über den Bedeutungsgehalt seiner Aussage irrt. „Er weiß nicht, was er damit sagt“</w:t>
      </w:r>
      <w:r w:rsidR="005D6182">
        <w:rPr>
          <w:iCs/>
          <w:color w:val="auto"/>
        </w:rPr>
        <w:t xml:space="preserve"> (</w:t>
      </w:r>
      <w:proofErr w:type="spellStart"/>
      <w:r w:rsidR="005D6182" w:rsidRPr="005D6182">
        <w:rPr>
          <w:iCs/>
          <w:color w:val="auto"/>
        </w:rPr>
        <w:t>JuS</w:t>
      </w:r>
      <w:proofErr w:type="spellEnd"/>
      <w:r w:rsidR="005D6182" w:rsidRPr="005D6182">
        <w:rPr>
          <w:iCs/>
          <w:color w:val="auto"/>
        </w:rPr>
        <w:t xml:space="preserve"> 2014, 491</w:t>
      </w:r>
      <w:r w:rsidR="005D6182">
        <w:rPr>
          <w:iCs/>
          <w:color w:val="auto"/>
        </w:rPr>
        <w:t xml:space="preserve"> (493)).</w:t>
      </w:r>
    </w:p>
    <w:p w14:paraId="3BB19F17" w14:textId="77777777" w:rsidR="00E82DCE" w:rsidRDefault="00E82DCE" w:rsidP="00964D21">
      <w:pPr>
        <w:pStyle w:val="SchemaDefinitionenHeader"/>
        <w:ind w:left="1800"/>
        <w:rPr>
          <w:iCs/>
          <w:color w:val="auto"/>
        </w:rPr>
      </w:pPr>
    </w:p>
    <w:p w14:paraId="3AE991CE" w14:textId="77777777" w:rsidR="006A013A" w:rsidRDefault="00FE26F1" w:rsidP="006A013A">
      <w:pPr>
        <w:pStyle w:val="SchemaDefinitionenHeader"/>
        <w:ind w:left="2124" w:firstLine="6"/>
        <w:rPr>
          <w:iCs/>
          <w:color w:val="auto"/>
        </w:rPr>
      </w:pPr>
      <w:r w:rsidRPr="00E82DCE">
        <w:rPr>
          <w:i/>
          <w:color w:val="auto"/>
        </w:rPr>
        <w:t>Beispiel:</w:t>
      </w:r>
      <w:r>
        <w:rPr>
          <w:iCs/>
          <w:color w:val="auto"/>
        </w:rPr>
        <w:t xml:space="preserve"> </w:t>
      </w:r>
    </w:p>
    <w:p w14:paraId="7EE12EA8" w14:textId="1CDF3B10" w:rsidR="00E82DCE" w:rsidRDefault="00D47DF9" w:rsidP="006A013A">
      <w:pPr>
        <w:pStyle w:val="SchemaDefinitionenHeader"/>
        <w:ind w:left="2124" w:firstLine="6"/>
        <w:rPr>
          <w:iCs/>
          <w:color w:val="auto"/>
        </w:rPr>
      </w:pPr>
      <w:r>
        <w:rPr>
          <w:iCs/>
          <w:color w:val="auto"/>
        </w:rPr>
        <w:t>C bestellt an der Fleischtheke 500g Hackepeter und bekommt anstatt</w:t>
      </w:r>
      <w:r w:rsidR="006A013A">
        <w:rPr>
          <w:iCs/>
          <w:color w:val="auto"/>
        </w:rPr>
        <w:t xml:space="preserve"> ganz normalen Hackfleischs, mit dem er Bolognese kochen wollte, gewürztes Hackfleisch, welches roh auf Brot gegessen wird.</w:t>
      </w:r>
    </w:p>
    <w:p w14:paraId="31845651" w14:textId="77777777" w:rsidR="00D47DF9" w:rsidRDefault="00D47DF9" w:rsidP="00FE26F1">
      <w:pPr>
        <w:pStyle w:val="SchemaDefinitionenHeader"/>
        <w:ind w:left="1800"/>
        <w:rPr>
          <w:iCs/>
          <w:color w:val="auto"/>
        </w:rPr>
      </w:pPr>
    </w:p>
    <w:p w14:paraId="33302FFB" w14:textId="2FECFBCB" w:rsidR="00FE26F1" w:rsidRDefault="00FE26F1" w:rsidP="00FE26F1">
      <w:pPr>
        <w:pStyle w:val="SchemaDefinitionenHeader"/>
        <w:ind w:left="1800"/>
        <w:rPr>
          <w:iCs/>
          <w:color w:val="auto"/>
        </w:rPr>
      </w:pPr>
      <w:r>
        <w:rPr>
          <w:iCs/>
          <w:color w:val="auto"/>
        </w:rPr>
        <w:t>Weiter ist eine Kausalität zwischen dem Irrtum und dem Inhalt der Erklärung zu prüfen.</w:t>
      </w:r>
    </w:p>
    <w:p w14:paraId="344AE7B4" w14:textId="77777777" w:rsidR="00FE26F1" w:rsidRPr="00CB2C5C" w:rsidRDefault="00FE26F1" w:rsidP="006A013A">
      <w:pPr>
        <w:pStyle w:val="SchemaDefinitionenHeader"/>
        <w:rPr>
          <w:iCs/>
          <w:color w:val="auto"/>
        </w:rPr>
      </w:pPr>
    </w:p>
    <w:p w14:paraId="0B25CF65" w14:textId="77777777" w:rsidR="00FE26F1" w:rsidRDefault="00B22339" w:rsidP="001138D3">
      <w:pPr>
        <w:pStyle w:val="SchemaDefinitionenHeader"/>
        <w:numPr>
          <w:ilvl w:val="1"/>
          <w:numId w:val="30"/>
        </w:numPr>
        <w:rPr>
          <w:i/>
          <w:iCs/>
          <w:color w:val="auto"/>
        </w:rPr>
      </w:pPr>
      <w:r w:rsidRPr="00CB2C5C">
        <w:rPr>
          <w:i/>
          <w:iCs/>
          <w:color w:val="auto"/>
        </w:rPr>
        <w:t>Eigenschaftsirrtum, § 119 II BGB</w:t>
      </w:r>
    </w:p>
    <w:p w14:paraId="1FD3825C" w14:textId="171A27CB" w:rsidR="00FE26F1" w:rsidRDefault="00FE26F1" w:rsidP="00FE26F1">
      <w:pPr>
        <w:pStyle w:val="SchemaDefinitionenHeader"/>
        <w:ind w:left="1800"/>
        <w:rPr>
          <w:iCs/>
          <w:color w:val="auto"/>
        </w:rPr>
      </w:pPr>
      <w:r>
        <w:rPr>
          <w:iCs/>
          <w:color w:val="auto"/>
        </w:rPr>
        <w:t xml:space="preserve">Ein </w:t>
      </w:r>
      <w:r w:rsidRPr="001138D3">
        <w:rPr>
          <w:i/>
          <w:color w:val="auto"/>
        </w:rPr>
        <w:t>Eigenschaftsirrtum</w:t>
      </w:r>
      <w:r>
        <w:rPr>
          <w:iCs/>
          <w:color w:val="auto"/>
        </w:rPr>
        <w:t xml:space="preserve"> liegt vor, wenn der Erklärende über eine Eigenschaft einer Sache oder einer Person irrt, welche verkehrswesentlich sind</w:t>
      </w:r>
      <w:r w:rsidR="005D6182">
        <w:rPr>
          <w:iCs/>
          <w:color w:val="auto"/>
        </w:rPr>
        <w:t xml:space="preserve"> (</w:t>
      </w:r>
      <w:proofErr w:type="spellStart"/>
      <w:r w:rsidR="005D6182" w:rsidRPr="005D6182">
        <w:rPr>
          <w:iCs/>
          <w:color w:val="auto"/>
        </w:rPr>
        <w:t>JuS</w:t>
      </w:r>
      <w:proofErr w:type="spellEnd"/>
      <w:r w:rsidR="005D6182" w:rsidRPr="005D6182">
        <w:rPr>
          <w:iCs/>
          <w:color w:val="auto"/>
        </w:rPr>
        <w:t xml:space="preserve"> 2014, 491</w:t>
      </w:r>
      <w:r w:rsidR="005D6182">
        <w:rPr>
          <w:iCs/>
          <w:color w:val="auto"/>
        </w:rPr>
        <w:t xml:space="preserve"> (493)).</w:t>
      </w:r>
    </w:p>
    <w:p w14:paraId="43EE660C" w14:textId="7B8D526A" w:rsidR="00FE26F1" w:rsidRDefault="00FE26F1" w:rsidP="00FE26F1">
      <w:pPr>
        <w:pStyle w:val="SchemaDefinitionenHeader"/>
        <w:ind w:left="1800"/>
        <w:rPr>
          <w:iCs/>
          <w:color w:val="auto"/>
        </w:rPr>
      </w:pPr>
      <w:r w:rsidRPr="001138D3">
        <w:rPr>
          <w:i/>
          <w:color w:val="auto"/>
        </w:rPr>
        <w:t>Eigenschaften</w:t>
      </w:r>
      <w:r>
        <w:rPr>
          <w:iCs/>
          <w:color w:val="auto"/>
        </w:rPr>
        <w:t xml:space="preserve"> einer Sache oder einer Person sind alle wertbildenden Faktoren, die dem Gegenstand unmittelbar anhaften, nicht jedoch der Wert der Sache selbst.</w:t>
      </w:r>
    </w:p>
    <w:p w14:paraId="779FAE0E" w14:textId="28D511E2" w:rsidR="00FE26F1" w:rsidRDefault="00FE26F1" w:rsidP="00FE26F1">
      <w:pPr>
        <w:pStyle w:val="SchemaDefinitionenHeader"/>
        <w:ind w:left="1800"/>
        <w:rPr>
          <w:iCs/>
          <w:color w:val="auto"/>
        </w:rPr>
      </w:pPr>
      <w:r>
        <w:rPr>
          <w:iCs/>
          <w:color w:val="auto"/>
        </w:rPr>
        <w:lastRenderedPageBreak/>
        <w:t xml:space="preserve">Eigenschaften sind dann </w:t>
      </w:r>
      <w:r w:rsidRPr="001138D3">
        <w:rPr>
          <w:i/>
          <w:color w:val="auto"/>
        </w:rPr>
        <w:t>verkehrswesentlich</w:t>
      </w:r>
      <w:r>
        <w:rPr>
          <w:iCs/>
          <w:color w:val="auto"/>
        </w:rPr>
        <w:t>, wenn sie nach allgemeiner Verkehrsanschauung für das konkrete Rechtsgeschäft von wesentlicher Bedeutung sind.</w:t>
      </w:r>
    </w:p>
    <w:p w14:paraId="111BCE3E" w14:textId="72C3CA68" w:rsidR="00E82DCE" w:rsidRDefault="00E82DCE" w:rsidP="00FE26F1">
      <w:pPr>
        <w:pStyle w:val="SchemaDefinitionenHeader"/>
        <w:ind w:left="1800"/>
        <w:rPr>
          <w:iCs/>
          <w:color w:val="auto"/>
        </w:rPr>
      </w:pPr>
    </w:p>
    <w:p w14:paraId="36912ED0" w14:textId="77777777" w:rsidR="00E82DCE" w:rsidRDefault="00E82DCE" w:rsidP="00E82DCE">
      <w:pPr>
        <w:pStyle w:val="SchemaDefinitionenHeader"/>
        <w:ind w:left="2124" w:firstLine="6"/>
        <w:rPr>
          <w:i/>
          <w:iCs/>
          <w:color w:val="auto"/>
        </w:rPr>
      </w:pPr>
      <w:r>
        <w:rPr>
          <w:i/>
          <w:iCs/>
          <w:color w:val="auto"/>
        </w:rPr>
        <w:t xml:space="preserve">Beispiel: </w:t>
      </w:r>
    </w:p>
    <w:p w14:paraId="5C38E639" w14:textId="0AD4D0E9" w:rsidR="00E82DCE" w:rsidRDefault="00E82DCE" w:rsidP="00E82DCE">
      <w:pPr>
        <w:pStyle w:val="SchemaDefinitionenHeader"/>
        <w:ind w:left="2124" w:firstLine="6"/>
        <w:rPr>
          <w:iCs/>
          <w:color w:val="auto"/>
        </w:rPr>
      </w:pPr>
      <w:r>
        <w:rPr>
          <w:iCs/>
          <w:color w:val="auto"/>
        </w:rPr>
        <w:t xml:space="preserve">A </w:t>
      </w:r>
      <w:r w:rsidR="002D7085">
        <w:rPr>
          <w:iCs/>
          <w:color w:val="auto"/>
        </w:rPr>
        <w:t xml:space="preserve">kauft von C </w:t>
      </w:r>
      <w:r w:rsidR="00DC2850">
        <w:rPr>
          <w:iCs/>
          <w:color w:val="auto"/>
        </w:rPr>
        <w:t xml:space="preserve">auf dem Flohmarkt eine Tasche, in dem Glauben, dass sie eine echtes Designerobjekt </w:t>
      </w:r>
      <w:r w:rsidR="00E65F8B">
        <w:rPr>
          <w:iCs/>
          <w:color w:val="auto"/>
        </w:rPr>
        <w:t>zum S</w:t>
      </w:r>
      <w:r w:rsidR="00AA40D2">
        <w:rPr>
          <w:iCs/>
          <w:color w:val="auto"/>
        </w:rPr>
        <w:t>pottpreis ergattert</w:t>
      </w:r>
      <w:r w:rsidR="00DC2850">
        <w:rPr>
          <w:iCs/>
          <w:color w:val="auto"/>
        </w:rPr>
        <w:t xml:space="preserve">. Tatsächlich ist </w:t>
      </w:r>
      <w:r w:rsidR="008A1DB3">
        <w:rPr>
          <w:iCs/>
          <w:color w:val="auto"/>
        </w:rPr>
        <w:t xml:space="preserve">sie Teil der Marke </w:t>
      </w:r>
      <w:proofErr w:type="spellStart"/>
      <w:r w:rsidR="008A1DB3">
        <w:rPr>
          <w:iCs/>
          <w:color w:val="auto"/>
        </w:rPr>
        <w:t>LariVittein</w:t>
      </w:r>
      <w:proofErr w:type="spellEnd"/>
      <w:r w:rsidR="008A1DB3">
        <w:rPr>
          <w:iCs/>
          <w:color w:val="auto"/>
        </w:rPr>
        <w:t>.</w:t>
      </w:r>
    </w:p>
    <w:p w14:paraId="045F40AD" w14:textId="77777777" w:rsidR="00E82DCE" w:rsidRPr="00E82DCE" w:rsidRDefault="00E82DCE" w:rsidP="00E82DCE">
      <w:pPr>
        <w:pStyle w:val="SchemaDefinitionenHeader"/>
        <w:ind w:left="2124" w:firstLine="6"/>
        <w:rPr>
          <w:iCs/>
          <w:color w:val="auto"/>
        </w:rPr>
      </w:pPr>
    </w:p>
    <w:p w14:paraId="3A1F04B7" w14:textId="267218CB" w:rsidR="00FE26F1" w:rsidRPr="00FE26F1" w:rsidRDefault="00FE26F1" w:rsidP="00FE26F1">
      <w:pPr>
        <w:pStyle w:val="SchemaDefinitionenHeader"/>
        <w:ind w:left="1800"/>
        <w:rPr>
          <w:i/>
          <w:iCs/>
          <w:color w:val="auto"/>
        </w:rPr>
      </w:pPr>
      <w:r w:rsidRPr="00FE26F1">
        <w:rPr>
          <w:iCs/>
          <w:color w:val="auto"/>
        </w:rPr>
        <w:t>Weiter ist eine Kausalität zwischen dem Irrtum und dem Inhalt der Erklärung zu prüfen.</w:t>
      </w:r>
    </w:p>
    <w:p w14:paraId="401B2101" w14:textId="09AB02FE" w:rsidR="00215223" w:rsidRDefault="00215223">
      <w:pPr>
        <w:rPr>
          <w:rFonts w:ascii="Open Sans" w:hAnsi="Open Sans" w:cs="Open Sans"/>
          <w:b/>
          <w:bCs/>
        </w:rPr>
      </w:pPr>
    </w:p>
    <w:p w14:paraId="24AD0788" w14:textId="4F4FB68D" w:rsidR="00E67011" w:rsidRDefault="00CB2C5C" w:rsidP="00CB2C5C">
      <w:pPr>
        <w:pStyle w:val="SchemaDefinitionenHeader"/>
        <w:ind w:left="1800" w:firstLine="324"/>
        <w:rPr>
          <w:color w:val="auto"/>
        </w:rPr>
      </w:pPr>
      <w:r w:rsidRPr="006A013A">
        <w:rPr>
          <w:b/>
          <w:bCs/>
          <w:color w:val="auto"/>
        </w:rPr>
        <w:t xml:space="preserve">P: </w:t>
      </w:r>
      <w:r w:rsidRPr="006A013A">
        <w:rPr>
          <w:color w:val="auto"/>
        </w:rPr>
        <w:t>Doppelirrtum</w:t>
      </w:r>
      <w:r w:rsidR="005D51D0">
        <w:rPr>
          <w:color w:val="auto"/>
        </w:rPr>
        <w:t xml:space="preserve"> </w:t>
      </w:r>
    </w:p>
    <w:p w14:paraId="15493188" w14:textId="152FD3AF" w:rsidR="00215223" w:rsidRDefault="00215223" w:rsidP="00215223">
      <w:pPr>
        <w:pStyle w:val="SchemaDefinitionenHeader"/>
        <w:ind w:left="2124"/>
        <w:rPr>
          <w:color w:val="auto"/>
        </w:rPr>
      </w:pPr>
      <w:r>
        <w:rPr>
          <w:b/>
          <w:bCs/>
          <w:color w:val="auto"/>
        </w:rPr>
        <w:t>P:</w:t>
      </w:r>
      <w:r>
        <w:rPr>
          <w:color w:val="auto"/>
        </w:rPr>
        <w:t xml:space="preserve"> Motivirrtum (</w:t>
      </w:r>
      <w:r w:rsidRPr="005C50FA">
        <w:rPr>
          <w:color w:val="auto"/>
        </w:rPr>
        <w:t xml:space="preserve">BGH NJW 2008, 2442 </w:t>
      </w:r>
      <w:proofErr w:type="spellStart"/>
      <w:r w:rsidRPr="005C50FA">
        <w:rPr>
          <w:color w:val="auto"/>
        </w:rPr>
        <w:t>Rn</w:t>
      </w:r>
      <w:proofErr w:type="spellEnd"/>
      <w:r w:rsidRPr="005C50FA">
        <w:rPr>
          <w:color w:val="auto"/>
        </w:rPr>
        <w:t>. 15</w:t>
      </w:r>
      <w:r>
        <w:rPr>
          <w:color w:val="auto"/>
        </w:rPr>
        <w:t xml:space="preserve">; </w:t>
      </w:r>
      <w:r w:rsidR="001722BB">
        <w:rPr>
          <w:color w:val="auto"/>
        </w:rPr>
        <w:t>M</w:t>
      </w:r>
      <w:r w:rsidRPr="00216E52">
        <w:rPr>
          <w:color w:val="auto"/>
        </w:rPr>
        <w:t xml:space="preserve">üKoBGB/Armbrüster, 9. Aufl. 2021, BGB § 119 </w:t>
      </w:r>
      <w:proofErr w:type="spellStart"/>
      <w:r w:rsidRPr="00216E52">
        <w:rPr>
          <w:color w:val="auto"/>
        </w:rPr>
        <w:t>Rn</w:t>
      </w:r>
      <w:proofErr w:type="spellEnd"/>
      <w:r w:rsidRPr="00216E52">
        <w:rPr>
          <w:color w:val="auto"/>
        </w:rPr>
        <w:t>. 108</w:t>
      </w:r>
      <w:r>
        <w:rPr>
          <w:color w:val="auto"/>
        </w:rPr>
        <w:t>)</w:t>
      </w:r>
    </w:p>
    <w:p w14:paraId="3D85EAFC" w14:textId="77777777" w:rsidR="00215223" w:rsidRDefault="00215223" w:rsidP="00CB2C5C">
      <w:pPr>
        <w:pStyle w:val="SchemaDefinitionenHeader"/>
        <w:ind w:left="1800" w:firstLine="324"/>
        <w:rPr>
          <w:color w:val="auto"/>
        </w:rPr>
      </w:pPr>
    </w:p>
    <w:p w14:paraId="2E891589" w14:textId="37F74058" w:rsidR="00215223" w:rsidRDefault="00215223" w:rsidP="00215223">
      <w:pPr>
        <w:pStyle w:val="SchemaDefinitionenHeader"/>
        <w:ind w:left="1800" w:firstLine="324"/>
        <w:rPr>
          <w:color w:val="auto"/>
        </w:rPr>
      </w:pPr>
      <w:r>
        <w:rPr>
          <w:color w:val="auto"/>
        </w:rPr>
        <w:t xml:space="preserve">Zu </w:t>
      </w:r>
      <w:r w:rsidRPr="006A013A">
        <w:rPr>
          <w:b/>
          <w:bCs/>
          <w:color w:val="auto"/>
        </w:rPr>
        <w:t xml:space="preserve">P: </w:t>
      </w:r>
      <w:r w:rsidRPr="006A013A">
        <w:rPr>
          <w:color w:val="auto"/>
        </w:rPr>
        <w:t>Doppelirrtum</w:t>
      </w:r>
      <w:r>
        <w:rPr>
          <w:color w:val="auto"/>
        </w:rPr>
        <w:t xml:space="preserve"> </w:t>
      </w:r>
    </w:p>
    <w:p w14:paraId="6A789E4E" w14:textId="0EC17037" w:rsidR="00CB2C5C" w:rsidRDefault="00A44A27" w:rsidP="001722BB">
      <w:pPr>
        <w:pStyle w:val="SchemaDefinitionenHeader"/>
        <w:ind w:left="2832"/>
        <w:rPr>
          <w:color w:val="auto"/>
        </w:rPr>
      </w:pPr>
      <w:r w:rsidRPr="00972614">
        <w:rPr>
          <w:color w:val="auto"/>
        </w:rPr>
        <w:t xml:space="preserve">Streitig ist, wie mit dem Fall umgegangen wird, dass sich beide </w:t>
      </w:r>
      <w:r w:rsidR="0081630F" w:rsidRPr="0081630F">
        <w:rPr>
          <w:color w:val="auto"/>
        </w:rPr>
        <w:t>Parteien</w:t>
      </w:r>
      <w:r w:rsidRPr="00972614">
        <w:rPr>
          <w:color w:val="auto"/>
        </w:rPr>
        <w:t xml:space="preserve"> über eine verkehrswesentliche Eigenschaft irren.</w:t>
      </w:r>
      <w:r>
        <w:rPr>
          <w:color w:val="auto"/>
        </w:rPr>
        <w:t xml:space="preserve"> </w:t>
      </w:r>
      <w:r w:rsidR="005D51D0">
        <w:rPr>
          <w:color w:val="auto"/>
        </w:rPr>
        <w:t>(Bitter/Röder,</w:t>
      </w:r>
      <w:r w:rsidR="00CD1E54">
        <w:rPr>
          <w:color w:val="auto"/>
        </w:rPr>
        <w:t xml:space="preserve"> BGB Allgemeiner Teil,</w:t>
      </w:r>
      <w:r w:rsidR="005D51D0">
        <w:rPr>
          <w:color w:val="auto"/>
        </w:rPr>
        <w:t xml:space="preserve"> 5. Auflage</w:t>
      </w:r>
      <w:r w:rsidR="00CD1E54">
        <w:rPr>
          <w:color w:val="auto"/>
        </w:rPr>
        <w:t xml:space="preserve"> 2020, S. 105, </w:t>
      </w:r>
      <w:proofErr w:type="spellStart"/>
      <w:r w:rsidR="00CD1E54">
        <w:rPr>
          <w:color w:val="auto"/>
        </w:rPr>
        <w:t>Rn</w:t>
      </w:r>
      <w:proofErr w:type="spellEnd"/>
      <w:r w:rsidR="00CD1E54">
        <w:rPr>
          <w:color w:val="auto"/>
        </w:rPr>
        <w:t>. 118 ff.)</w:t>
      </w:r>
    </w:p>
    <w:p w14:paraId="67D84B03" w14:textId="77777777" w:rsidR="001722BB" w:rsidRDefault="001722BB" w:rsidP="00972614">
      <w:pPr>
        <w:pStyle w:val="SchemaDefinitionenHeader"/>
        <w:ind w:left="2832"/>
        <w:rPr>
          <w:color w:val="auto"/>
        </w:rPr>
      </w:pPr>
    </w:p>
    <w:p w14:paraId="6460A8D6" w14:textId="215F32D8" w:rsidR="00F14D6C" w:rsidRDefault="00F14D6C" w:rsidP="001722BB">
      <w:pPr>
        <w:pStyle w:val="SchemaDefinitionenHeader"/>
        <w:ind w:left="2832"/>
        <w:rPr>
          <w:color w:val="auto"/>
        </w:rPr>
      </w:pPr>
      <w:r>
        <w:rPr>
          <w:color w:val="auto"/>
        </w:rPr>
        <w:t xml:space="preserve">Nach der </w:t>
      </w:r>
      <w:r w:rsidRPr="00972614">
        <w:rPr>
          <w:i/>
          <w:iCs/>
          <w:color w:val="auto"/>
        </w:rPr>
        <w:t>herrschenden Meinung</w:t>
      </w:r>
      <w:r>
        <w:rPr>
          <w:color w:val="auto"/>
        </w:rPr>
        <w:t xml:space="preserve"> sollen die Regeln über die Änderung der Geschäftsgrundlage angewendet werden</w:t>
      </w:r>
      <w:r w:rsidR="00111574">
        <w:rPr>
          <w:color w:val="auto"/>
        </w:rPr>
        <w:t xml:space="preserve"> (BGH </w:t>
      </w:r>
      <w:r w:rsidR="00111574" w:rsidRPr="00111574">
        <w:rPr>
          <w:color w:val="auto"/>
        </w:rPr>
        <w:t>NJW 1958, 297</w:t>
      </w:r>
      <w:r w:rsidR="00111574">
        <w:rPr>
          <w:color w:val="auto"/>
        </w:rPr>
        <w:t xml:space="preserve"> (298))</w:t>
      </w:r>
      <w:r>
        <w:rPr>
          <w:color w:val="auto"/>
        </w:rPr>
        <w:t>.</w:t>
      </w:r>
      <w:r w:rsidR="005959EF">
        <w:rPr>
          <w:color w:val="auto"/>
        </w:rPr>
        <w:t xml:space="preserve"> Denn wenn beide Parteien demselben Eigenschaftsirrtum unterliegen, ist es nur eine Frage der Zeit, vgl. § 121 I 1 BGB, welche Partei zuerst Kenntnis von dem Irrtum erlangt und anficht. Dieser Zufälligkeit und einem Schadensersatzanspruch gem. § 122</w:t>
      </w:r>
      <w:r w:rsidR="00B63DDA">
        <w:rPr>
          <w:color w:val="auto"/>
        </w:rPr>
        <w:t xml:space="preserve"> BGB</w:t>
      </w:r>
      <w:r w:rsidR="005959EF">
        <w:rPr>
          <w:color w:val="auto"/>
        </w:rPr>
        <w:t xml:space="preserve"> unterliegt dann die andere Partei</w:t>
      </w:r>
      <w:r w:rsidR="00905076">
        <w:rPr>
          <w:color w:val="auto"/>
        </w:rPr>
        <w:t xml:space="preserve"> (</w:t>
      </w:r>
      <w:r w:rsidR="00905076" w:rsidRPr="00905076">
        <w:rPr>
          <w:color w:val="auto"/>
        </w:rPr>
        <w:t xml:space="preserve">Stadler, Astrid: Allgemeiner Teil des BGB, 20. Auflage, § 25, </w:t>
      </w:r>
      <w:proofErr w:type="spellStart"/>
      <w:r w:rsidR="00905076" w:rsidRPr="00905076">
        <w:rPr>
          <w:color w:val="auto"/>
        </w:rPr>
        <w:t>Rn</w:t>
      </w:r>
      <w:proofErr w:type="spellEnd"/>
      <w:r w:rsidR="00905076" w:rsidRPr="00905076">
        <w:rPr>
          <w:color w:val="auto"/>
        </w:rPr>
        <w:t>. 95</w:t>
      </w:r>
      <w:r w:rsidR="00B868F7">
        <w:rPr>
          <w:color w:val="auto"/>
        </w:rPr>
        <w:t xml:space="preserve"> ff.</w:t>
      </w:r>
      <w:r w:rsidR="00905076">
        <w:rPr>
          <w:color w:val="auto"/>
        </w:rPr>
        <w:t>)</w:t>
      </w:r>
      <w:r w:rsidR="00695164">
        <w:rPr>
          <w:color w:val="auto"/>
        </w:rPr>
        <w:t>.</w:t>
      </w:r>
    </w:p>
    <w:p w14:paraId="1D87997C" w14:textId="77777777" w:rsidR="001722BB" w:rsidRDefault="001722BB" w:rsidP="00972614">
      <w:pPr>
        <w:pStyle w:val="SchemaDefinitionenHeader"/>
        <w:ind w:left="2832"/>
        <w:rPr>
          <w:color w:val="auto"/>
        </w:rPr>
      </w:pPr>
    </w:p>
    <w:p w14:paraId="2A798548" w14:textId="206616FB" w:rsidR="005959EF" w:rsidRDefault="005959EF" w:rsidP="00972614">
      <w:pPr>
        <w:pStyle w:val="SchemaDefinitionenHeader"/>
        <w:ind w:left="2832"/>
        <w:rPr>
          <w:color w:val="auto"/>
        </w:rPr>
      </w:pPr>
      <w:r>
        <w:rPr>
          <w:color w:val="auto"/>
        </w:rPr>
        <w:t xml:space="preserve">Nach </w:t>
      </w:r>
      <w:r w:rsidRPr="00972614">
        <w:rPr>
          <w:i/>
          <w:iCs/>
          <w:color w:val="auto"/>
        </w:rPr>
        <w:t>einer anderen Ansicht</w:t>
      </w:r>
      <w:r>
        <w:rPr>
          <w:color w:val="auto"/>
        </w:rPr>
        <w:t xml:space="preserve"> soll </w:t>
      </w:r>
      <w:proofErr w:type="gramStart"/>
      <w:r>
        <w:rPr>
          <w:color w:val="auto"/>
        </w:rPr>
        <w:t>ganz normal</w:t>
      </w:r>
      <w:proofErr w:type="gramEnd"/>
      <w:r>
        <w:rPr>
          <w:color w:val="auto"/>
        </w:rPr>
        <w:t xml:space="preserve"> angefochten werden können, </w:t>
      </w:r>
      <w:proofErr w:type="spellStart"/>
      <w:r>
        <w:rPr>
          <w:color w:val="auto"/>
        </w:rPr>
        <w:t>dh</w:t>
      </w:r>
      <w:proofErr w:type="spellEnd"/>
      <w:r>
        <w:rPr>
          <w:color w:val="auto"/>
        </w:rPr>
        <w:t xml:space="preserve"> auf den beiderseitigen Doppelirrtum die §§ 119, 1</w:t>
      </w:r>
      <w:r w:rsidR="00B63DDA">
        <w:rPr>
          <w:color w:val="auto"/>
        </w:rPr>
        <w:t xml:space="preserve">42 BGB angewandt werden. Dieser Ansicht nach profitiert eine Partei von dem Irrtum, während die andere </w:t>
      </w:r>
      <w:r w:rsidR="00B63DDA">
        <w:rPr>
          <w:color w:val="auto"/>
        </w:rPr>
        <w:lastRenderedPageBreak/>
        <w:t xml:space="preserve">einen Schaden trägt. Daher ist es nicht zufällig, wer anficht und gerecht, dass die profitierende Partei zum Ersatz des Vertrauensschadens </w:t>
      </w:r>
      <w:r w:rsidR="00695164">
        <w:rPr>
          <w:color w:val="auto"/>
        </w:rPr>
        <w:t>verpflichtet</w:t>
      </w:r>
      <w:r w:rsidR="00B63DDA">
        <w:rPr>
          <w:color w:val="auto"/>
        </w:rPr>
        <w:t xml:space="preserve"> ist</w:t>
      </w:r>
      <w:r w:rsidR="00695164">
        <w:rPr>
          <w:color w:val="auto"/>
        </w:rPr>
        <w:t xml:space="preserve"> </w:t>
      </w:r>
      <w:r w:rsidR="006D6834">
        <w:rPr>
          <w:color w:val="auto"/>
        </w:rPr>
        <w:t>(</w:t>
      </w:r>
      <w:r w:rsidR="006D6834" w:rsidRPr="006D6834">
        <w:rPr>
          <w:color w:val="auto"/>
        </w:rPr>
        <w:t>Medicus/Petersen: Allgemeiner Teil des BGB, 11. Auflage, 2016</w:t>
      </w:r>
      <w:r w:rsidR="008310A8">
        <w:rPr>
          <w:color w:val="auto"/>
        </w:rPr>
        <w:t xml:space="preserve">, </w:t>
      </w:r>
      <w:proofErr w:type="spellStart"/>
      <w:r w:rsidR="008310A8">
        <w:rPr>
          <w:color w:val="auto"/>
        </w:rPr>
        <w:t>Rn</w:t>
      </w:r>
      <w:proofErr w:type="spellEnd"/>
      <w:r w:rsidR="008310A8">
        <w:rPr>
          <w:color w:val="auto"/>
        </w:rPr>
        <w:t>. 778</w:t>
      </w:r>
      <w:r w:rsidR="000209B9">
        <w:rPr>
          <w:color w:val="auto"/>
        </w:rPr>
        <w:t>)</w:t>
      </w:r>
      <w:r w:rsidR="00695164">
        <w:rPr>
          <w:color w:val="auto"/>
        </w:rPr>
        <w:t>.</w:t>
      </w:r>
    </w:p>
    <w:p w14:paraId="171E615B" w14:textId="77777777" w:rsidR="001722BB" w:rsidRDefault="001722BB" w:rsidP="00A44A27">
      <w:pPr>
        <w:pStyle w:val="SchemaDefinitionenHeader"/>
        <w:ind w:left="2124"/>
        <w:rPr>
          <w:i/>
          <w:iCs/>
          <w:color w:val="auto"/>
        </w:rPr>
      </w:pPr>
    </w:p>
    <w:p w14:paraId="0E278AD8" w14:textId="03F9898C" w:rsidR="00B63DDA" w:rsidRDefault="00B63DDA" w:rsidP="00972614">
      <w:pPr>
        <w:pStyle w:val="SchemaDefinitionenHeader"/>
        <w:ind w:left="2832"/>
        <w:rPr>
          <w:color w:val="auto"/>
        </w:rPr>
      </w:pPr>
      <w:r w:rsidRPr="00972614">
        <w:rPr>
          <w:i/>
          <w:iCs/>
          <w:color w:val="auto"/>
        </w:rPr>
        <w:t>Für die Klausur</w:t>
      </w:r>
      <w:r>
        <w:rPr>
          <w:color w:val="auto"/>
        </w:rPr>
        <w:t xml:space="preserve"> bietet es sich an, nicht starr die Ansichten anzuwenden, sondern dazwischen zu differenzieren, ob die Kausalität des Irrtums für die Abgabe der Willenserklärung vorliegt. Nur dann ist eine Partei zur Anfechtung berechtigt.</w:t>
      </w:r>
    </w:p>
    <w:p w14:paraId="26F393EC" w14:textId="77777777" w:rsidR="001722BB" w:rsidRDefault="001722BB" w:rsidP="00A44A27">
      <w:pPr>
        <w:pStyle w:val="SchemaDefinitionenHeader"/>
        <w:ind w:left="2124"/>
        <w:rPr>
          <w:color w:val="auto"/>
        </w:rPr>
      </w:pPr>
    </w:p>
    <w:p w14:paraId="173EF13C" w14:textId="078C6F55" w:rsidR="00E2483A" w:rsidRDefault="00E2483A" w:rsidP="001722BB">
      <w:pPr>
        <w:pStyle w:val="SchemaDefinitionenHeader"/>
        <w:ind w:left="2832"/>
        <w:rPr>
          <w:color w:val="auto"/>
        </w:rPr>
      </w:pPr>
      <w:r>
        <w:rPr>
          <w:color w:val="auto"/>
        </w:rPr>
        <w:t xml:space="preserve">Wenn, wie oben im Beispiel C der A eine Tasche verkauft und beide davon ausgehen, dass es lediglich ein „fake“ ist, sie tatsächlich aber eine echte </w:t>
      </w:r>
      <w:proofErr w:type="spellStart"/>
      <w:r>
        <w:rPr>
          <w:color w:val="auto"/>
        </w:rPr>
        <w:t>LouisVuitton</w:t>
      </w:r>
      <w:proofErr w:type="spellEnd"/>
      <w:r>
        <w:rPr>
          <w:color w:val="auto"/>
        </w:rPr>
        <w:t xml:space="preserve"> Tasche ist, dann ist leicht ersichtlich, wer am Vertrag festhalten will (A) und wer die Anfechtung erklären wollen würde (C). </w:t>
      </w:r>
      <w:r w:rsidR="0055671F">
        <w:rPr>
          <w:color w:val="auto"/>
        </w:rPr>
        <w:t xml:space="preserve">Und auch nur für </w:t>
      </w:r>
      <w:r w:rsidR="007B5350">
        <w:rPr>
          <w:color w:val="auto"/>
        </w:rPr>
        <w:t xml:space="preserve">V ist der Irrtum kausal für die Abgabe der Willenserklärung gewesen, sodass nur ihrerseits die </w:t>
      </w:r>
      <w:r w:rsidR="004359B7">
        <w:rPr>
          <w:color w:val="auto"/>
        </w:rPr>
        <w:t>Voraussetzungen</w:t>
      </w:r>
      <w:r w:rsidR="007B5350">
        <w:rPr>
          <w:color w:val="auto"/>
        </w:rPr>
        <w:t xml:space="preserve"> einer Anfechtung vorliegen. Demnach ist sie dann auch schadensersatzpflichtig gem</w:t>
      </w:r>
      <w:r w:rsidR="00F41058">
        <w:rPr>
          <w:color w:val="auto"/>
        </w:rPr>
        <w:t xml:space="preserve">äß </w:t>
      </w:r>
      <w:r w:rsidR="007B5350">
        <w:rPr>
          <w:color w:val="auto"/>
        </w:rPr>
        <w:t>§ 122 BGB.</w:t>
      </w:r>
    </w:p>
    <w:p w14:paraId="0505E839" w14:textId="77777777" w:rsidR="00F41058" w:rsidRDefault="00F41058" w:rsidP="00972614">
      <w:pPr>
        <w:pStyle w:val="SchemaDefinitionenHeader"/>
        <w:ind w:left="2832"/>
        <w:rPr>
          <w:color w:val="auto"/>
        </w:rPr>
      </w:pPr>
    </w:p>
    <w:p w14:paraId="47355DD0" w14:textId="200F9F37" w:rsidR="00215223" w:rsidRDefault="007B5350" w:rsidP="00972614">
      <w:pPr>
        <w:pStyle w:val="SchemaDefinitionenHeader"/>
        <w:ind w:left="2832"/>
        <w:rPr>
          <w:color w:val="auto"/>
        </w:rPr>
      </w:pPr>
      <w:r>
        <w:rPr>
          <w:color w:val="auto"/>
        </w:rPr>
        <w:t xml:space="preserve">In Fällen, in denen wiederum </w:t>
      </w:r>
      <w:r w:rsidR="004359B7">
        <w:rPr>
          <w:color w:val="auto"/>
        </w:rPr>
        <w:t>die Kausalität des Irrtums für die Abgabe beider Willenserklärungen zu bejahen ist, ist zwischen den Ansichten zu entscheiden und nach der herrschenden Meinung das Prüfungsschema des § 313 BGB heranzuziehen.</w:t>
      </w:r>
    </w:p>
    <w:p w14:paraId="35CD4CFF" w14:textId="77777777" w:rsidR="004D1DFB" w:rsidRDefault="004D1DFB" w:rsidP="00972614">
      <w:pPr>
        <w:pStyle w:val="SchemaDefinitionenHeader"/>
        <w:rPr>
          <w:color w:val="auto"/>
        </w:rPr>
      </w:pPr>
    </w:p>
    <w:p w14:paraId="04134D72" w14:textId="59084B12" w:rsidR="00E82DCE" w:rsidRDefault="00E82DCE" w:rsidP="00CB2C5C">
      <w:pPr>
        <w:pStyle w:val="SchemaDefinitionenHeader"/>
        <w:ind w:left="1800" w:firstLine="324"/>
        <w:rPr>
          <w:color w:val="auto"/>
        </w:rPr>
      </w:pPr>
      <w:r>
        <w:rPr>
          <w:color w:val="auto"/>
        </w:rPr>
        <w:t xml:space="preserve">Zu </w:t>
      </w:r>
      <w:r w:rsidRPr="00E82DCE">
        <w:rPr>
          <w:b/>
          <w:bCs/>
          <w:color w:val="auto"/>
        </w:rPr>
        <w:t>P:</w:t>
      </w:r>
      <w:r>
        <w:rPr>
          <w:color w:val="auto"/>
        </w:rPr>
        <w:t xml:space="preserve"> Motivirrtum</w:t>
      </w:r>
    </w:p>
    <w:p w14:paraId="2353CDA0" w14:textId="61692238" w:rsidR="00D47DF9" w:rsidRDefault="00D47DF9" w:rsidP="00972614">
      <w:pPr>
        <w:pStyle w:val="SchemaDefinitionenHeader"/>
        <w:ind w:left="2832"/>
        <w:rPr>
          <w:color w:val="auto"/>
        </w:rPr>
      </w:pPr>
      <w:r>
        <w:rPr>
          <w:color w:val="auto"/>
        </w:rPr>
        <w:t xml:space="preserve">Ein </w:t>
      </w:r>
      <w:r w:rsidRPr="001138D3">
        <w:rPr>
          <w:i/>
          <w:iCs/>
          <w:color w:val="auto"/>
        </w:rPr>
        <w:t>Motivirrtum</w:t>
      </w:r>
      <w:r>
        <w:rPr>
          <w:color w:val="auto"/>
        </w:rPr>
        <w:t xml:space="preserve"> ist ein Irrtum über einen konkreten Beweggrund, dieser ist grundsätzlich unbeachtlich. Kauft der B nämlich seiner Freundin einen Verlobungsring, diese möchte aber lieber noch um die Welt reisen und sich nicht verloben, so ist der Kaufvertrag nicht </w:t>
      </w:r>
      <w:r w:rsidR="007C5970" w:rsidRPr="00F41058">
        <w:rPr>
          <w:color w:val="auto"/>
        </w:rPr>
        <w:t xml:space="preserve">anfechtbar </w:t>
      </w:r>
      <w:r w:rsidR="007C5970" w:rsidRPr="00972614">
        <w:rPr>
          <w:color w:val="auto"/>
        </w:rPr>
        <w:t>(</w:t>
      </w:r>
      <w:r w:rsidR="001722BB" w:rsidRPr="001722BB">
        <w:rPr>
          <w:color w:val="auto"/>
        </w:rPr>
        <w:t xml:space="preserve">MüKoBGB/Armbrüster, § 119 </w:t>
      </w:r>
      <w:proofErr w:type="spellStart"/>
      <w:r w:rsidR="001722BB" w:rsidRPr="001722BB">
        <w:rPr>
          <w:color w:val="auto"/>
        </w:rPr>
        <w:t>Rn</w:t>
      </w:r>
      <w:proofErr w:type="spellEnd"/>
      <w:r w:rsidR="001722BB" w:rsidRPr="001722BB">
        <w:rPr>
          <w:color w:val="auto"/>
        </w:rPr>
        <w:t>. 113, 114</w:t>
      </w:r>
      <w:r w:rsidR="001722BB">
        <w:rPr>
          <w:color w:val="auto"/>
        </w:rPr>
        <w:t>).</w:t>
      </w:r>
    </w:p>
    <w:p w14:paraId="1EC882C7" w14:textId="77777777" w:rsidR="00E82DCE" w:rsidRPr="00CB2C5C" w:rsidRDefault="00E82DCE" w:rsidP="00CB2C5C">
      <w:pPr>
        <w:pStyle w:val="SchemaDefinitionenHeader"/>
        <w:ind w:left="1800" w:firstLine="324"/>
        <w:rPr>
          <w:b/>
          <w:bCs/>
          <w:color w:val="auto"/>
        </w:rPr>
      </w:pPr>
    </w:p>
    <w:p w14:paraId="59FFAED9" w14:textId="77777777" w:rsidR="00B459C4" w:rsidRDefault="00B459C4">
      <w:pPr>
        <w:rPr>
          <w:rFonts w:ascii="Open Sans" w:hAnsi="Open Sans" w:cs="Open Sans"/>
          <w:i/>
          <w:iCs/>
        </w:rPr>
      </w:pPr>
      <w:r>
        <w:rPr>
          <w:i/>
          <w:iCs/>
        </w:rPr>
        <w:br w:type="page"/>
      </w:r>
    </w:p>
    <w:p w14:paraId="7A6AFCB8" w14:textId="1952A047" w:rsidR="00B459C4" w:rsidRDefault="00B22339" w:rsidP="001138D3">
      <w:pPr>
        <w:pStyle w:val="SchemaDefinitionenHeader"/>
        <w:numPr>
          <w:ilvl w:val="1"/>
          <w:numId w:val="30"/>
        </w:numPr>
        <w:rPr>
          <w:i/>
          <w:iCs/>
          <w:color w:val="auto"/>
        </w:rPr>
      </w:pPr>
      <w:r w:rsidRPr="00CB2C5C">
        <w:rPr>
          <w:i/>
          <w:iCs/>
          <w:color w:val="auto"/>
        </w:rPr>
        <w:lastRenderedPageBreak/>
        <w:t>Übermittlungsirrtum, § 120 BGB</w:t>
      </w:r>
    </w:p>
    <w:p w14:paraId="5FDE062E" w14:textId="39D906D4" w:rsidR="00E70476" w:rsidRPr="00976D2C" w:rsidRDefault="00E70476" w:rsidP="00976D2C">
      <w:pPr>
        <w:pStyle w:val="SchemaDefinitionenHeader"/>
        <w:ind w:left="1800"/>
        <w:rPr>
          <w:i/>
          <w:iCs/>
        </w:rPr>
      </w:pPr>
    </w:p>
    <w:p w14:paraId="183600B3" w14:textId="77F3D277" w:rsidR="00B22339" w:rsidRDefault="00B22339" w:rsidP="001138D3">
      <w:pPr>
        <w:pStyle w:val="SchemaDefinitionenHeader"/>
        <w:numPr>
          <w:ilvl w:val="1"/>
          <w:numId w:val="30"/>
        </w:numPr>
        <w:rPr>
          <w:i/>
          <w:iCs/>
          <w:color w:val="auto"/>
        </w:rPr>
      </w:pPr>
      <w:r w:rsidRPr="00CB2C5C">
        <w:rPr>
          <w:i/>
          <w:iCs/>
          <w:color w:val="auto"/>
        </w:rPr>
        <w:t>Arglistige Täuschung, § 123 I Alt. 1 BGB</w:t>
      </w:r>
    </w:p>
    <w:p w14:paraId="302AEBEF" w14:textId="4E45BF50" w:rsidR="00124A0D" w:rsidRDefault="00124A0D" w:rsidP="00124A0D">
      <w:pPr>
        <w:pStyle w:val="SchemaDefinitionenHeader"/>
        <w:ind w:left="1800"/>
        <w:rPr>
          <w:iCs/>
          <w:color w:val="auto"/>
        </w:rPr>
      </w:pPr>
      <w:r>
        <w:rPr>
          <w:iCs/>
          <w:color w:val="auto"/>
        </w:rPr>
        <w:t xml:space="preserve">Eine </w:t>
      </w:r>
      <w:r w:rsidRPr="001138D3">
        <w:rPr>
          <w:i/>
          <w:color w:val="auto"/>
        </w:rPr>
        <w:t>Täuschung</w:t>
      </w:r>
      <w:r>
        <w:rPr>
          <w:iCs/>
          <w:color w:val="auto"/>
        </w:rPr>
        <w:t xml:space="preserve"> ist jede </w:t>
      </w:r>
      <w:r w:rsidR="006A013A">
        <w:rPr>
          <w:iCs/>
          <w:color w:val="auto"/>
        </w:rPr>
        <w:t>Unterdrückung von wahren oder Vorspielen von unwahren Tatsachen, wodurch ein Irrtum hervorgerufen wird</w:t>
      </w:r>
      <w:r>
        <w:rPr>
          <w:iCs/>
          <w:color w:val="auto"/>
        </w:rPr>
        <w:t>.</w:t>
      </w:r>
    </w:p>
    <w:p w14:paraId="1C628289" w14:textId="0AEA016F" w:rsidR="006A013A" w:rsidRDefault="006A013A" w:rsidP="006A013A">
      <w:pPr>
        <w:pStyle w:val="SchemaDefinitionenHeader"/>
        <w:ind w:left="1800"/>
        <w:rPr>
          <w:iCs/>
          <w:color w:val="auto"/>
        </w:rPr>
      </w:pPr>
      <w:r w:rsidRPr="001138D3">
        <w:rPr>
          <w:i/>
          <w:color w:val="auto"/>
        </w:rPr>
        <w:t>Tatsachen</w:t>
      </w:r>
      <w:r w:rsidR="00124A0D">
        <w:rPr>
          <w:iCs/>
          <w:color w:val="auto"/>
        </w:rPr>
        <w:t xml:space="preserve"> sind </w:t>
      </w:r>
      <w:r>
        <w:rPr>
          <w:iCs/>
          <w:color w:val="auto"/>
        </w:rPr>
        <w:t>Umstände, die dem Beweis zugänglich sind</w:t>
      </w:r>
    </w:p>
    <w:p w14:paraId="2CC9CDB9" w14:textId="64C93E8C" w:rsidR="00124A0D" w:rsidRDefault="00124A0D" w:rsidP="00124A0D">
      <w:pPr>
        <w:pStyle w:val="SchemaDefinitionenHeader"/>
        <w:ind w:left="1800"/>
        <w:rPr>
          <w:iCs/>
          <w:color w:val="auto"/>
        </w:rPr>
      </w:pPr>
      <w:r>
        <w:rPr>
          <w:iCs/>
          <w:color w:val="auto"/>
        </w:rPr>
        <w:t>Unter Arglist versteht man Vorsatz.</w:t>
      </w:r>
    </w:p>
    <w:p w14:paraId="3F80266D" w14:textId="70FE59F8" w:rsidR="006A013A" w:rsidRPr="00FE26F1" w:rsidRDefault="006A013A" w:rsidP="006A013A">
      <w:pPr>
        <w:pStyle w:val="SchemaDefinitionenHeader"/>
        <w:ind w:left="1800"/>
        <w:rPr>
          <w:i/>
          <w:iCs/>
          <w:color w:val="auto"/>
        </w:rPr>
      </w:pPr>
      <w:r w:rsidRPr="00FE26F1">
        <w:rPr>
          <w:iCs/>
          <w:color w:val="auto"/>
        </w:rPr>
        <w:t xml:space="preserve">Weiter ist eine Kausalität zwischen </w:t>
      </w:r>
      <w:r>
        <w:rPr>
          <w:iCs/>
          <w:color w:val="auto"/>
        </w:rPr>
        <w:t xml:space="preserve">der Täuschung, </w:t>
      </w:r>
      <w:r w:rsidRPr="00FE26F1">
        <w:rPr>
          <w:iCs/>
          <w:color w:val="auto"/>
        </w:rPr>
        <w:t>dem Irrtum und de</w:t>
      </w:r>
      <w:r w:rsidR="00124A0D">
        <w:rPr>
          <w:iCs/>
          <w:color w:val="auto"/>
        </w:rPr>
        <w:t>r</w:t>
      </w:r>
      <w:r w:rsidRPr="00FE26F1">
        <w:rPr>
          <w:iCs/>
          <w:color w:val="auto"/>
        </w:rPr>
        <w:t xml:space="preserve"> </w:t>
      </w:r>
      <w:r w:rsidR="00124A0D">
        <w:rPr>
          <w:iCs/>
          <w:color w:val="auto"/>
        </w:rPr>
        <w:t>Abgabe der Willenserklärung</w:t>
      </w:r>
      <w:r w:rsidRPr="00FE26F1">
        <w:rPr>
          <w:iCs/>
          <w:color w:val="auto"/>
        </w:rPr>
        <w:t xml:space="preserve"> zu prüfen.</w:t>
      </w:r>
    </w:p>
    <w:p w14:paraId="1772FB0A" w14:textId="11DB86C8" w:rsidR="0072178F" w:rsidRDefault="0072178F">
      <w:pPr>
        <w:rPr>
          <w:rFonts w:ascii="Open Sans" w:hAnsi="Open Sans" w:cs="Open Sans"/>
          <w:i/>
          <w:iCs/>
        </w:rPr>
      </w:pPr>
    </w:p>
    <w:p w14:paraId="33770FBB" w14:textId="3E6A84BC" w:rsidR="006A013A" w:rsidRDefault="00B22339" w:rsidP="001138D3">
      <w:pPr>
        <w:pStyle w:val="SchemaDefinitionenHeader"/>
        <w:numPr>
          <w:ilvl w:val="1"/>
          <w:numId w:val="30"/>
        </w:numPr>
        <w:rPr>
          <w:i/>
          <w:iCs/>
          <w:color w:val="auto"/>
        </w:rPr>
      </w:pPr>
      <w:r w:rsidRPr="00CB2C5C">
        <w:rPr>
          <w:i/>
          <w:iCs/>
          <w:color w:val="auto"/>
        </w:rPr>
        <w:t>Widerrechtliche Drohung, § 123 I Alt. 2 BGB</w:t>
      </w:r>
    </w:p>
    <w:p w14:paraId="2CF88F03" w14:textId="7E702684" w:rsidR="006A013A" w:rsidRDefault="00124A0D" w:rsidP="006A013A">
      <w:pPr>
        <w:pStyle w:val="SchemaDefinitionenHeader"/>
        <w:ind w:left="1800"/>
        <w:rPr>
          <w:iCs/>
          <w:color w:val="auto"/>
        </w:rPr>
      </w:pPr>
      <w:r>
        <w:rPr>
          <w:iCs/>
          <w:color w:val="auto"/>
        </w:rPr>
        <w:t xml:space="preserve">Eine </w:t>
      </w:r>
      <w:r w:rsidRPr="001138D3">
        <w:rPr>
          <w:i/>
          <w:color w:val="auto"/>
        </w:rPr>
        <w:t>Drohung</w:t>
      </w:r>
      <w:r>
        <w:rPr>
          <w:iCs/>
          <w:color w:val="auto"/>
        </w:rPr>
        <w:t xml:space="preserve"> ist</w:t>
      </w:r>
      <w:r w:rsidR="006A013A">
        <w:rPr>
          <w:iCs/>
          <w:color w:val="auto"/>
        </w:rPr>
        <w:t xml:space="preserve"> </w:t>
      </w:r>
      <w:r>
        <w:rPr>
          <w:iCs/>
          <w:color w:val="auto"/>
        </w:rPr>
        <w:t>j</w:t>
      </w:r>
      <w:r w:rsidR="006A013A">
        <w:rPr>
          <w:iCs/>
          <w:color w:val="auto"/>
        </w:rPr>
        <w:t xml:space="preserve">edes </w:t>
      </w:r>
      <w:r>
        <w:rPr>
          <w:iCs/>
          <w:color w:val="auto"/>
        </w:rPr>
        <w:t>in A</w:t>
      </w:r>
      <w:r w:rsidR="006A013A">
        <w:rPr>
          <w:iCs/>
          <w:color w:val="auto"/>
        </w:rPr>
        <w:t>ussicht</w:t>
      </w:r>
      <w:r>
        <w:rPr>
          <w:iCs/>
          <w:color w:val="auto"/>
        </w:rPr>
        <w:t xml:space="preserve"> </w:t>
      </w:r>
      <w:r w:rsidR="006A013A">
        <w:rPr>
          <w:iCs/>
          <w:color w:val="auto"/>
        </w:rPr>
        <w:t>stellen eines künftigen Übels, worauf der Drohende vorgibt Einfluss zu haben.</w:t>
      </w:r>
    </w:p>
    <w:p w14:paraId="0C8C2B53" w14:textId="2F8287D8" w:rsidR="006A013A" w:rsidRDefault="00124A0D" w:rsidP="006A013A">
      <w:pPr>
        <w:pStyle w:val="SchemaDefinitionenHeader"/>
        <w:ind w:left="1800"/>
        <w:rPr>
          <w:iCs/>
          <w:color w:val="auto"/>
        </w:rPr>
      </w:pPr>
      <w:r w:rsidRPr="001138D3">
        <w:rPr>
          <w:i/>
          <w:color w:val="auto"/>
        </w:rPr>
        <w:t>Widerrechtlich</w:t>
      </w:r>
      <w:r>
        <w:rPr>
          <w:iCs/>
          <w:color w:val="auto"/>
        </w:rPr>
        <w:t xml:space="preserve"> ist die Drohung dann,</w:t>
      </w:r>
      <w:r w:rsidR="006A013A">
        <w:rPr>
          <w:iCs/>
          <w:color w:val="auto"/>
        </w:rPr>
        <w:t xml:space="preserve"> </w:t>
      </w:r>
      <w:r>
        <w:rPr>
          <w:iCs/>
          <w:color w:val="auto"/>
        </w:rPr>
        <w:t>wenn sie</w:t>
      </w:r>
      <w:r w:rsidR="006A013A">
        <w:rPr>
          <w:iCs/>
          <w:color w:val="auto"/>
        </w:rPr>
        <w:t xml:space="preserve"> gegen die Rechtsordnung verstößt</w:t>
      </w:r>
      <w:r>
        <w:rPr>
          <w:iCs/>
          <w:color w:val="auto"/>
        </w:rPr>
        <w:t>.</w:t>
      </w:r>
    </w:p>
    <w:p w14:paraId="545B1F57" w14:textId="1439BA2E" w:rsidR="00124A0D" w:rsidRPr="00FE26F1" w:rsidRDefault="00124A0D" w:rsidP="00124A0D">
      <w:pPr>
        <w:pStyle w:val="SchemaDefinitionenHeader"/>
        <w:ind w:left="1800"/>
        <w:rPr>
          <w:i/>
          <w:iCs/>
          <w:color w:val="auto"/>
        </w:rPr>
      </w:pPr>
      <w:r w:rsidRPr="00FE26F1">
        <w:rPr>
          <w:iCs/>
          <w:color w:val="auto"/>
        </w:rPr>
        <w:t xml:space="preserve">Weiter ist eine Kausalität zwischen </w:t>
      </w:r>
      <w:r>
        <w:rPr>
          <w:iCs/>
          <w:color w:val="auto"/>
        </w:rPr>
        <w:t xml:space="preserve">der Drohung </w:t>
      </w:r>
      <w:r w:rsidRPr="00FE26F1">
        <w:rPr>
          <w:iCs/>
          <w:color w:val="auto"/>
        </w:rPr>
        <w:t>und de</w:t>
      </w:r>
      <w:r>
        <w:rPr>
          <w:iCs/>
          <w:color w:val="auto"/>
        </w:rPr>
        <w:t>r</w:t>
      </w:r>
      <w:r w:rsidRPr="00FE26F1">
        <w:rPr>
          <w:iCs/>
          <w:color w:val="auto"/>
        </w:rPr>
        <w:t xml:space="preserve"> </w:t>
      </w:r>
      <w:r>
        <w:rPr>
          <w:iCs/>
          <w:color w:val="auto"/>
        </w:rPr>
        <w:t>Abgabe der Willenserklärung</w:t>
      </w:r>
      <w:r w:rsidRPr="00FE26F1">
        <w:rPr>
          <w:iCs/>
          <w:color w:val="auto"/>
        </w:rPr>
        <w:t xml:space="preserve"> zu prüfen.</w:t>
      </w:r>
    </w:p>
    <w:p w14:paraId="4F3A9971" w14:textId="77777777" w:rsidR="006A013A" w:rsidRPr="006A013A" w:rsidRDefault="006A013A" w:rsidP="006A013A">
      <w:pPr>
        <w:pStyle w:val="SchemaDefinitionenHeader"/>
        <w:ind w:left="1800"/>
        <w:rPr>
          <w:iCs/>
          <w:color w:val="auto"/>
        </w:rPr>
      </w:pPr>
    </w:p>
    <w:p w14:paraId="1586F92B" w14:textId="5C7B4003" w:rsidR="00124A0D" w:rsidRPr="00124A0D" w:rsidRDefault="00B22339" w:rsidP="001138D3">
      <w:pPr>
        <w:pStyle w:val="SchemaDefinitionenHeader"/>
        <w:numPr>
          <w:ilvl w:val="0"/>
          <w:numId w:val="30"/>
        </w:numPr>
        <w:rPr>
          <w:b/>
          <w:bCs/>
          <w:color w:val="auto"/>
        </w:rPr>
      </w:pPr>
      <w:r w:rsidRPr="00BF57DB">
        <w:rPr>
          <w:b/>
          <w:bCs/>
          <w:color w:val="auto"/>
        </w:rPr>
        <w:t xml:space="preserve">Anfechtungserklärung gegenüber dem richtigen Anfechtungsgegner, </w:t>
      </w:r>
      <w:r w:rsidR="00FE26F1">
        <w:rPr>
          <w:b/>
          <w:bCs/>
          <w:color w:val="auto"/>
        </w:rPr>
        <w:br/>
      </w:r>
      <w:r w:rsidRPr="00BF57DB">
        <w:rPr>
          <w:b/>
          <w:bCs/>
          <w:color w:val="auto"/>
        </w:rPr>
        <w:t>§ 143 I BGB</w:t>
      </w:r>
    </w:p>
    <w:p w14:paraId="6EF16504" w14:textId="31FF53C1" w:rsidR="00B22339" w:rsidRPr="00CB2C5C" w:rsidRDefault="00B22339" w:rsidP="001138D3">
      <w:pPr>
        <w:pStyle w:val="SchemaDefinitionenHeader"/>
        <w:numPr>
          <w:ilvl w:val="0"/>
          <w:numId w:val="30"/>
        </w:numPr>
        <w:rPr>
          <w:b/>
          <w:bCs/>
          <w:color w:val="auto"/>
        </w:rPr>
      </w:pPr>
      <w:r w:rsidRPr="00CB2C5C">
        <w:rPr>
          <w:b/>
          <w:bCs/>
          <w:color w:val="auto"/>
        </w:rPr>
        <w:t>Anfechtungsfrist</w:t>
      </w:r>
    </w:p>
    <w:p w14:paraId="4C4DF1E3" w14:textId="77777777" w:rsidR="00124A0D" w:rsidRDefault="00124A0D" w:rsidP="00124A0D">
      <w:pPr>
        <w:pStyle w:val="SchemaDefinitionenHeader"/>
        <w:ind w:left="1080"/>
        <w:rPr>
          <w:color w:val="auto"/>
        </w:rPr>
      </w:pPr>
      <w:r>
        <w:rPr>
          <w:color w:val="auto"/>
        </w:rPr>
        <w:t xml:space="preserve">In den Fällen des §§ 119, 120 BGB hat die Anfechtung ohne schuldhaftes Zögern (unverzüglich) zu erfolgen, vgl. </w:t>
      </w:r>
      <w:r w:rsidR="00B22339" w:rsidRPr="00CB2C5C">
        <w:rPr>
          <w:color w:val="auto"/>
        </w:rPr>
        <w:t>§ 121 BGB</w:t>
      </w:r>
      <w:r>
        <w:rPr>
          <w:color w:val="auto"/>
        </w:rPr>
        <w:t>.</w:t>
      </w:r>
    </w:p>
    <w:p w14:paraId="33BC5ACD" w14:textId="796E0885" w:rsidR="00124A0D" w:rsidRDefault="00124A0D" w:rsidP="00124A0D">
      <w:pPr>
        <w:pStyle w:val="SchemaDefinitionenHeader"/>
        <w:ind w:left="1080"/>
        <w:rPr>
          <w:color w:val="auto"/>
        </w:rPr>
      </w:pPr>
      <w:r>
        <w:rPr>
          <w:color w:val="auto"/>
        </w:rPr>
        <w:t>In den Fällen des § 123 BGB kann die Anfechtung nur binnen Jahresfrist erfolgen, vgl. § 124 I BGB.</w:t>
      </w:r>
    </w:p>
    <w:p w14:paraId="68839F12" w14:textId="68D70E3B" w:rsidR="001138D3" w:rsidRDefault="001138D3">
      <w:pPr>
        <w:rPr>
          <w:rFonts w:ascii="Open Sans" w:hAnsi="Open Sans" w:cs="Open Sans"/>
          <w:b/>
          <w:bCs/>
        </w:rPr>
      </w:pPr>
    </w:p>
    <w:p w14:paraId="125CDD8A" w14:textId="60FD17B7" w:rsidR="00124A0D" w:rsidRDefault="00B22339" w:rsidP="001138D3">
      <w:pPr>
        <w:pStyle w:val="SchemaDefinitionenHeader"/>
        <w:numPr>
          <w:ilvl w:val="0"/>
          <w:numId w:val="30"/>
        </w:numPr>
        <w:rPr>
          <w:b/>
          <w:bCs/>
          <w:color w:val="auto"/>
        </w:rPr>
      </w:pPr>
      <w:r w:rsidRPr="00BF57DB">
        <w:rPr>
          <w:b/>
          <w:bCs/>
          <w:color w:val="auto"/>
        </w:rPr>
        <w:t>Kein Ausschluss der Anfechtung</w:t>
      </w:r>
    </w:p>
    <w:p w14:paraId="22A3983F" w14:textId="0120C185" w:rsidR="00B22339" w:rsidRPr="00124A0D" w:rsidRDefault="00124A0D" w:rsidP="00124A0D">
      <w:pPr>
        <w:pStyle w:val="SchemaDefinitionenHeader"/>
        <w:ind w:left="1080"/>
        <w:rPr>
          <w:color w:val="auto"/>
        </w:rPr>
      </w:pPr>
      <w:r w:rsidRPr="00124A0D">
        <w:rPr>
          <w:color w:val="auto"/>
        </w:rPr>
        <w:t>Bsp.: § 121 II BGB oder § 144 BGB</w:t>
      </w:r>
      <w:r>
        <w:rPr>
          <w:color w:val="auto"/>
        </w:rPr>
        <w:t xml:space="preserve"> (Bestätigung</w:t>
      </w:r>
      <w:r w:rsidR="00F30AC0">
        <w:rPr>
          <w:color w:val="auto"/>
        </w:rPr>
        <w:t>)</w:t>
      </w:r>
    </w:p>
    <w:p w14:paraId="34B64F3C" w14:textId="77777777" w:rsidR="00124A0D" w:rsidRDefault="00124A0D" w:rsidP="00124A0D">
      <w:pPr>
        <w:pStyle w:val="SchemaDefinitionenHeader"/>
        <w:ind w:left="1080"/>
        <w:rPr>
          <w:b/>
          <w:bCs/>
          <w:color w:val="auto"/>
        </w:rPr>
      </w:pPr>
    </w:p>
    <w:p w14:paraId="30CFDFB7" w14:textId="371250EC" w:rsidR="00B22339" w:rsidRDefault="00B22339" w:rsidP="001138D3">
      <w:pPr>
        <w:pStyle w:val="SchemaDefinitionenHeader"/>
        <w:numPr>
          <w:ilvl w:val="0"/>
          <w:numId w:val="30"/>
        </w:numPr>
        <w:rPr>
          <w:b/>
          <w:bCs/>
          <w:color w:val="auto"/>
        </w:rPr>
      </w:pPr>
      <w:r w:rsidRPr="00BF57DB">
        <w:rPr>
          <w:b/>
          <w:bCs/>
          <w:color w:val="auto"/>
        </w:rPr>
        <w:t>Rechtsfolge</w:t>
      </w:r>
      <w:r w:rsidR="00CB2C5C">
        <w:rPr>
          <w:b/>
          <w:bCs/>
          <w:color w:val="auto"/>
        </w:rPr>
        <w:t xml:space="preserve">: </w:t>
      </w:r>
      <w:r w:rsidR="00BF57DB" w:rsidRPr="00BF57DB">
        <w:rPr>
          <w:b/>
          <w:bCs/>
          <w:color w:val="auto"/>
        </w:rPr>
        <w:t xml:space="preserve">Nichtigkeit ex </w:t>
      </w:r>
      <w:proofErr w:type="spellStart"/>
      <w:r w:rsidR="00BF57DB" w:rsidRPr="00BF57DB">
        <w:rPr>
          <w:b/>
          <w:bCs/>
          <w:color w:val="auto"/>
        </w:rPr>
        <w:t>tunc</w:t>
      </w:r>
      <w:proofErr w:type="spellEnd"/>
      <w:r w:rsidR="00BF57DB" w:rsidRPr="00BF57DB">
        <w:rPr>
          <w:b/>
          <w:bCs/>
          <w:color w:val="auto"/>
        </w:rPr>
        <w:t xml:space="preserve"> gemäß § 142 I BGB</w:t>
      </w:r>
    </w:p>
    <w:p w14:paraId="2844D595" w14:textId="550A7CC0" w:rsidR="005A4600" w:rsidRDefault="005A4600" w:rsidP="00CB2C5C">
      <w:pPr>
        <w:pStyle w:val="Tatbestandberschriften"/>
        <w:tabs>
          <w:tab w:val="left" w:pos="3965"/>
        </w:tabs>
        <w:spacing w:after="0"/>
        <w:ind w:left="1080"/>
        <w:rPr>
          <w:b w:val="0"/>
        </w:rPr>
      </w:pPr>
      <w:r w:rsidRPr="00FF36D7">
        <w:rPr>
          <w:b w:val="0"/>
        </w:rPr>
        <w:t xml:space="preserve">Nach wirksamer Anfechtung ist das angefochtene Rechtsgeschäft als von Anfang an (ex </w:t>
      </w:r>
      <w:proofErr w:type="spellStart"/>
      <w:r w:rsidRPr="00FF36D7">
        <w:rPr>
          <w:b w:val="0"/>
        </w:rPr>
        <w:t>tunc</w:t>
      </w:r>
      <w:proofErr w:type="spellEnd"/>
      <w:r w:rsidRPr="00FF36D7">
        <w:rPr>
          <w:b w:val="0"/>
        </w:rPr>
        <w:t xml:space="preserve"> = rückwirkend) als nichtig anzusehen, vgl. § 142 BGB</w:t>
      </w:r>
      <w:r w:rsidR="00E76954">
        <w:rPr>
          <w:b w:val="0"/>
        </w:rPr>
        <w:t xml:space="preserve"> (</w:t>
      </w:r>
      <w:r w:rsidR="00E76954" w:rsidRPr="00E76954">
        <w:rPr>
          <w:b w:val="0"/>
        </w:rPr>
        <w:t xml:space="preserve">Jauernig/Mansel, § 142 </w:t>
      </w:r>
      <w:proofErr w:type="spellStart"/>
      <w:r w:rsidR="00E76954" w:rsidRPr="00E76954">
        <w:rPr>
          <w:b w:val="0"/>
        </w:rPr>
        <w:t>Rn</w:t>
      </w:r>
      <w:proofErr w:type="spellEnd"/>
      <w:r w:rsidR="00E76954" w:rsidRPr="00E76954">
        <w:rPr>
          <w:b w:val="0"/>
        </w:rPr>
        <w:t>. 3</w:t>
      </w:r>
      <w:r w:rsidR="00E76954">
        <w:rPr>
          <w:b w:val="0"/>
        </w:rPr>
        <w:t>).</w:t>
      </w:r>
    </w:p>
    <w:p w14:paraId="77D8622E" w14:textId="279AC9D5" w:rsidR="005A4600" w:rsidRDefault="005A4600" w:rsidP="00CB2C5C">
      <w:pPr>
        <w:pStyle w:val="Tatbestandberschriften"/>
        <w:tabs>
          <w:tab w:val="left" w:pos="3965"/>
        </w:tabs>
        <w:spacing w:after="0"/>
        <w:ind w:left="1080"/>
        <w:rPr>
          <w:b w:val="0"/>
        </w:rPr>
      </w:pPr>
    </w:p>
    <w:p w14:paraId="5E680328" w14:textId="77777777" w:rsidR="005A4600" w:rsidRDefault="005A4600" w:rsidP="005A4600">
      <w:pPr>
        <w:pStyle w:val="SchemaDefinitionenHeader"/>
        <w:ind w:left="1800" w:firstLine="324"/>
        <w:rPr>
          <w:b/>
          <w:bCs/>
          <w:color w:val="auto"/>
        </w:rPr>
      </w:pPr>
    </w:p>
    <w:p w14:paraId="3EB64681" w14:textId="77777777" w:rsidR="005A4600" w:rsidRDefault="005A4600" w:rsidP="005A4600">
      <w:pPr>
        <w:pStyle w:val="SchemaDefinitionenHeader"/>
        <w:ind w:left="1800" w:firstLine="324"/>
        <w:rPr>
          <w:color w:val="auto"/>
        </w:rPr>
      </w:pPr>
      <w:r w:rsidRPr="00CB2C5C">
        <w:rPr>
          <w:b/>
          <w:bCs/>
          <w:color w:val="auto"/>
        </w:rPr>
        <w:t xml:space="preserve">P: </w:t>
      </w:r>
      <w:r>
        <w:rPr>
          <w:color w:val="auto"/>
        </w:rPr>
        <w:t>Fehleridentität</w:t>
      </w:r>
    </w:p>
    <w:p w14:paraId="69A58FAF" w14:textId="3396ACC8" w:rsidR="00CB2C5C" w:rsidRPr="005A4600" w:rsidRDefault="00112629" w:rsidP="005A4600">
      <w:pPr>
        <w:pStyle w:val="SchemaDefinitionenHeader"/>
        <w:ind w:left="2124"/>
        <w:rPr>
          <w:bCs/>
          <w:color w:val="auto"/>
        </w:rPr>
      </w:pPr>
      <w:bookmarkStart w:id="1" w:name="_Hlk98271844"/>
      <w:r w:rsidRPr="005A4600">
        <w:rPr>
          <w:bCs/>
          <w:color w:val="auto"/>
        </w:rPr>
        <w:t xml:space="preserve">Damit ein Fall der </w:t>
      </w:r>
      <w:r w:rsidRPr="001138D3">
        <w:rPr>
          <w:bCs/>
          <w:i/>
          <w:iCs/>
          <w:color w:val="auto"/>
        </w:rPr>
        <w:t>Fehleridentität</w:t>
      </w:r>
      <w:r w:rsidRPr="005A4600">
        <w:rPr>
          <w:bCs/>
          <w:color w:val="auto"/>
        </w:rPr>
        <w:t xml:space="preserve"> vorliegen kann, muss zum einen die Willenserklärung gerichtet auf das Verpflichtungsgeschäft und auf der anderen Seite die Willenserklärung gerichtet auf das Verfügungsgeschäft unter demselben Mangel leiden und eben dieser Mangel kausal für beide Geschäfte sein. </w:t>
      </w:r>
      <w:bookmarkEnd w:id="1"/>
      <w:r w:rsidR="00CB2C5C" w:rsidRPr="005A4600">
        <w:rPr>
          <w:bCs/>
          <w:color w:val="auto"/>
        </w:rPr>
        <w:t>Es handelt sich streng genommen nicht um eine Ausnahme vom Abstraktionsprinzip, da Verpflichtungsgeschäft und Verfügungsgeschäft immer noch unabhängig voneinander sind. Da aber Verpflichtungs- und Verfügungsgeschäft gleichermaßen fehlerhaft sind, erfasst der Fehler eben beide Geschäfte, weshalb beide Geschäfte anfechtbar sind. Fehleridentität ist meist in Fällen der arglistigen Täuschung und Drohung nach § 123 BGB anzunehmen</w:t>
      </w:r>
      <w:r w:rsidR="00E76954">
        <w:rPr>
          <w:bCs/>
          <w:color w:val="auto"/>
        </w:rPr>
        <w:t xml:space="preserve"> (</w:t>
      </w:r>
      <w:r w:rsidR="00E76954" w:rsidRPr="00E76954">
        <w:rPr>
          <w:bCs/>
          <w:color w:val="auto"/>
        </w:rPr>
        <w:t xml:space="preserve">Jauernig/Mansel, § 142 </w:t>
      </w:r>
      <w:proofErr w:type="spellStart"/>
      <w:r w:rsidR="00E76954" w:rsidRPr="00E76954">
        <w:rPr>
          <w:bCs/>
          <w:color w:val="auto"/>
        </w:rPr>
        <w:t>Rn</w:t>
      </w:r>
      <w:proofErr w:type="spellEnd"/>
      <w:r w:rsidR="00E76954" w:rsidRPr="00E76954">
        <w:rPr>
          <w:bCs/>
          <w:color w:val="auto"/>
        </w:rPr>
        <w:t xml:space="preserve">. </w:t>
      </w:r>
      <w:r w:rsidR="00E76954">
        <w:rPr>
          <w:bCs/>
          <w:color w:val="auto"/>
        </w:rPr>
        <w:t xml:space="preserve">14 ff.; </w:t>
      </w:r>
      <w:proofErr w:type="spellStart"/>
      <w:r w:rsidR="00E76954">
        <w:rPr>
          <w:color w:val="auto"/>
        </w:rPr>
        <w:t>JuS</w:t>
      </w:r>
      <w:proofErr w:type="spellEnd"/>
      <w:r w:rsidR="00E76954">
        <w:rPr>
          <w:color w:val="auto"/>
        </w:rPr>
        <w:t xml:space="preserve"> 2016, 673</w:t>
      </w:r>
      <w:r w:rsidR="00E76954">
        <w:rPr>
          <w:bCs/>
          <w:color w:val="auto"/>
        </w:rPr>
        <w:t>).</w:t>
      </w:r>
    </w:p>
    <w:p w14:paraId="21718054" w14:textId="2855C010" w:rsidR="00C33C47" w:rsidRDefault="00C33C47" w:rsidP="00C33C47">
      <w:pPr>
        <w:pStyle w:val="SchemaDefinitionenHeader"/>
        <w:rPr>
          <w:b/>
          <w:bCs/>
          <w:color w:val="auto"/>
        </w:rPr>
      </w:pPr>
    </w:p>
    <w:p w14:paraId="5378D6A5" w14:textId="1C7A5C58" w:rsidR="00295E1E" w:rsidRDefault="00CB2C5C" w:rsidP="001138D3">
      <w:pPr>
        <w:pStyle w:val="SchemaDefinitionenHeader"/>
        <w:numPr>
          <w:ilvl w:val="0"/>
          <w:numId w:val="29"/>
        </w:numPr>
        <w:rPr>
          <w:b/>
          <w:bCs/>
          <w:color w:val="auto"/>
        </w:rPr>
      </w:pPr>
      <w:r>
        <w:rPr>
          <w:b/>
          <w:bCs/>
          <w:color w:val="auto"/>
        </w:rPr>
        <w:t>Anspruch durchsetzbar</w:t>
      </w:r>
    </w:p>
    <w:p w14:paraId="2619C393" w14:textId="4570AEBA" w:rsidR="001138D3" w:rsidRDefault="001138D3" w:rsidP="001138D3">
      <w:pPr>
        <w:pStyle w:val="SchemaDefinitionenHeader"/>
        <w:rPr>
          <w:b/>
          <w:bCs/>
          <w:color w:val="auto"/>
        </w:rPr>
      </w:pPr>
    </w:p>
    <w:p w14:paraId="7D397E5A" w14:textId="77777777" w:rsidR="001138D3" w:rsidRDefault="001138D3" w:rsidP="001138D3">
      <w:pPr>
        <w:jc w:val="both"/>
        <w:rPr>
          <w:rFonts w:ascii="Open Sans" w:hAnsi="Open Sans" w:cs="Open Sans"/>
          <w:bCs/>
        </w:rPr>
      </w:pPr>
      <w:bookmarkStart w:id="2" w:name="_Hlk110682625"/>
      <w:r>
        <w:rPr>
          <w:rFonts w:ascii="Open Sans" w:hAnsi="Open Sans" w:cs="Open Sans"/>
          <w:bCs/>
        </w:rPr>
        <w:t>Quellen:</w:t>
      </w:r>
    </w:p>
    <w:p w14:paraId="491AF513" w14:textId="61756019" w:rsidR="00E76954" w:rsidRDefault="00E76954" w:rsidP="001138D3">
      <w:pPr>
        <w:pStyle w:val="SchemaDefinitionenHeader"/>
        <w:rPr>
          <w:color w:val="auto"/>
        </w:rPr>
      </w:pPr>
      <w:bookmarkStart w:id="3" w:name="_Hlk110682276"/>
      <w:r w:rsidRPr="00E76954">
        <w:rPr>
          <w:color w:val="auto"/>
        </w:rPr>
        <w:t>NJW 1998, 3192</w:t>
      </w:r>
      <w:r>
        <w:rPr>
          <w:color w:val="auto"/>
        </w:rPr>
        <w:t xml:space="preserve"> – Zum Problem des Kalkulationsirrtums</w:t>
      </w:r>
      <w:bookmarkEnd w:id="3"/>
      <w:r w:rsidR="005D6182">
        <w:rPr>
          <w:color w:val="auto"/>
        </w:rPr>
        <w:t>.</w:t>
      </w:r>
    </w:p>
    <w:p w14:paraId="6EF4989D" w14:textId="12E472DA" w:rsidR="005D6182" w:rsidRDefault="005D6182" w:rsidP="001138D3">
      <w:pPr>
        <w:pStyle w:val="SchemaDefinitionenHeader"/>
        <w:rPr>
          <w:iCs/>
          <w:color w:val="auto"/>
        </w:rPr>
      </w:pPr>
      <w:proofErr w:type="spellStart"/>
      <w:r w:rsidRPr="005D6182">
        <w:rPr>
          <w:iCs/>
          <w:color w:val="auto"/>
        </w:rPr>
        <w:t>JuS</w:t>
      </w:r>
      <w:proofErr w:type="spellEnd"/>
      <w:r w:rsidRPr="005D6182">
        <w:rPr>
          <w:iCs/>
          <w:color w:val="auto"/>
        </w:rPr>
        <w:t xml:space="preserve"> 2014, 49</w:t>
      </w:r>
      <w:r>
        <w:rPr>
          <w:iCs/>
          <w:color w:val="auto"/>
        </w:rPr>
        <w:t>1 – Umfassende Erläuterung einzelner Irrtumskonstellationen inkl. Beispielen.</w:t>
      </w:r>
      <w:bookmarkEnd w:id="2"/>
    </w:p>
    <w:p w14:paraId="75A523F7" w14:textId="216B2722" w:rsidR="001722BB" w:rsidRDefault="001722BB" w:rsidP="001138D3">
      <w:pPr>
        <w:pStyle w:val="SchemaDefinitionenHeader"/>
        <w:rPr>
          <w:iCs/>
          <w:color w:val="auto"/>
        </w:rPr>
      </w:pPr>
      <w:r w:rsidRPr="005C50FA">
        <w:rPr>
          <w:color w:val="auto"/>
        </w:rPr>
        <w:t xml:space="preserve">BGH NJW 2008, 2442 </w:t>
      </w:r>
      <w:proofErr w:type="spellStart"/>
      <w:r w:rsidRPr="005C50FA">
        <w:rPr>
          <w:color w:val="auto"/>
        </w:rPr>
        <w:t>Rn</w:t>
      </w:r>
      <w:proofErr w:type="spellEnd"/>
      <w:r w:rsidRPr="005C50FA">
        <w:rPr>
          <w:color w:val="auto"/>
        </w:rPr>
        <w:t>. 15</w:t>
      </w:r>
      <w:r>
        <w:rPr>
          <w:color w:val="auto"/>
        </w:rPr>
        <w:t>.</w:t>
      </w:r>
    </w:p>
    <w:p w14:paraId="20D85240" w14:textId="5B360315" w:rsidR="002F4BED" w:rsidRDefault="002F4BED" w:rsidP="001138D3">
      <w:pPr>
        <w:pStyle w:val="SchemaDefinitionenHeader"/>
        <w:rPr>
          <w:iCs/>
          <w:color w:val="auto"/>
        </w:rPr>
      </w:pPr>
      <w:bookmarkStart w:id="4" w:name="_Hlk112422981"/>
      <w:r>
        <w:rPr>
          <w:iCs/>
          <w:color w:val="auto"/>
        </w:rPr>
        <w:t xml:space="preserve">Stadler, </w:t>
      </w:r>
      <w:r w:rsidR="0099739B">
        <w:rPr>
          <w:iCs/>
          <w:color w:val="auto"/>
        </w:rPr>
        <w:t>Astrid: Allgemeiner Teil des BGB, 20. Auflage</w:t>
      </w:r>
      <w:r w:rsidR="00014EF5">
        <w:rPr>
          <w:iCs/>
          <w:color w:val="auto"/>
        </w:rPr>
        <w:t>, § 25</w:t>
      </w:r>
      <w:r w:rsidR="00243690">
        <w:rPr>
          <w:iCs/>
          <w:color w:val="auto"/>
        </w:rPr>
        <w:t xml:space="preserve">, </w:t>
      </w:r>
      <w:proofErr w:type="spellStart"/>
      <w:r w:rsidR="00243690">
        <w:rPr>
          <w:iCs/>
          <w:color w:val="auto"/>
        </w:rPr>
        <w:t>Rn</w:t>
      </w:r>
      <w:proofErr w:type="spellEnd"/>
      <w:r w:rsidR="00243690">
        <w:rPr>
          <w:iCs/>
          <w:color w:val="auto"/>
        </w:rPr>
        <w:t>. 95</w:t>
      </w:r>
      <w:r w:rsidR="00DD7E5E">
        <w:rPr>
          <w:iCs/>
          <w:color w:val="auto"/>
        </w:rPr>
        <w:t>.</w:t>
      </w:r>
    </w:p>
    <w:bookmarkEnd w:id="4"/>
    <w:p w14:paraId="2BC387CB" w14:textId="6963C041" w:rsidR="00257175" w:rsidRDefault="0099739B" w:rsidP="001138D3">
      <w:pPr>
        <w:pStyle w:val="SchemaDefinitionenHeader"/>
        <w:rPr>
          <w:iCs/>
          <w:color w:val="auto"/>
        </w:rPr>
      </w:pPr>
      <w:r>
        <w:rPr>
          <w:iCs/>
          <w:color w:val="auto"/>
        </w:rPr>
        <w:t xml:space="preserve">Medicus/Petersen: Allgemeiner Teil des BGB, 11. Auflage, </w:t>
      </w:r>
      <w:r w:rsidR="00257175">
        <w:rPr>
          <w:iCs/>
          <w:color w:val="auto"/>
        </w:rPr>
        <w:t>2016</w:t>
      </w:r>
      <w:r w:rsidR="00DD7E5E">
        <w:rPr>
          <w:iCs/>
          <w:color w:val="auto"/>
        </w:rPr>
        <w:t>.</w:t>
      </w:r>
    </w:p>
    <w:p w14:paraId="660940D2" w14:textId="439424E5" w:rsidR="001722BB" w:rsidRDefault="001722BB" w:rsidP="001138D3">
      <w:pPr>
        <w:pStyle w:val="SchemaDefinitionenHeader"/>
        <w:rPr>
          <w:iCs/>
          <w:color w:val="auto"/>
        </w:rPr>
      </w:pPr>
      <w:r w:rsidRPr="001722BB">
        <w:rPr>
          <w:iCs/>
          <w:color w:val="auto"/>
        </w:rPr>
        <w:t xml:space="preserve">MüKoBGB/Armbrüster, 9. Aufl. 2021, BGB § 119 </w:t>
      </w:r>
      <w:proofErr w:type="spellStart"/>
      <w:r w:rsidRPr="001722BB">
        <w:rPr>
          <w:iCs/>
          <w:color w:val="auto"/>
        </w:rPr>
        <w:t>Rn</w:t>
      </w:r>
      <w:proofErr w:type="spellEnd"/>
      <w:r w:rsidRPr="001722BB">
        <w:rPr>
          <w:iCs/>
          <w:color w:val="auto"/>
        </w:rPr>
        <w:t xml:space="preserve">. </w:t>
      </w:r>
      <w:r>
        <w:rPr>
          <w:iCs/>
          <w:color w:val="auto"/>
        </w:rPr>
        <w:t xml:space="preserve">108, </w:t>
      </w:r>
      <w:r w:rsidRPr="001722BB">
        <w:rPr>
          <w:iCs/>
          <w:color w:val="auto"/>
        </w:rPr>
        <w:t>113</w:t>
      </w:r>
      <w:r>
        <w:rPr>
          <w:iCs/>
          <w:color w:val="auto"/>
        </w:rPr>
        <w:t xml:space="preserve"> f.</w:t>
      </w:r>
    </w:p>
    <w:p w14:paraId="25584B2C" w14:textId="6BEC1425" w:rsidR="005165A0" w:rsidRDefault="005165A0" w:rsidP="001138D3">
      <w:pPr>
        <w:pStyle w:val="SchemaDefinitionenHeader"/>
        <w:rPr>
          <w:iCs/>
          <w:color w:val="auto"/>
        </w:rPr>
      </w:pPr>
      <w:r>
        <w:rPr>
          <w:iCs/>
          <w:color w:val="auto"/>
        </w:rPr>
        <w:t xml:space="preserve">Jauernig/Mansel, 18. Aufl. 2021, BGB § 119 </w:t>
      </w:r>
      <w:proofErr w:type="spellStart"/>
      <w:r>
        <w:rPr>
          <w:iCs/>
          <w:color w:val="auto"/>
        </w:rPr>
        <w:t>Rn</w:t>
      </w:r>
      <w:proofErr w:type="spellEnd"/>
      <w:r>
        <w:rPr>
          <w:iCs/>
          <w:color w:val="auto"/>
        </w:rPr>
        <w:t>. 10</w:t>
      </w:r>
      <w:r w:rsidR="00EF6AA4">
        <w:rPr>
          <w:iCs/>
          <w:color w:val="auto"/>
        </w:rPr>
        <w:t xml:space="preserve">; </w:t>
      </w:r>
      <w:r w:rsidR="00EF6AA4" w:rsidRPr="00976D2C">
        <w:rPr>
          <w:color w:val="auto"/>
        </w:rPr>
        <w:t xml:space="preserve">§ 142 </w:t>
      </w:r>
      <w:proofErr w:type="spellStart"/>
      <w:r w:rsidR="00EF6AA4" w:rsidRPr="00976D2C">
        <w:rPr>
          <w:color w:val="auto"/>
        </w:rPr>
        <w:t>Rn</w:t>
      </w:r>
      <w:proofErr w:type="spellEnd"/>
      <w:r w:rsidR="00EF6AA4" w:rsidRPr="00976D2C">
        <w:rPr>
          <w:color w:val="auto"/>
        </w:rPr>
        <w:t>. 3, 14 ff.</w:t>
      </w:r>
    </w:p>
    <w:p w14:paraId="7B220FDE" w14:textId="75277075" w:rsidR="004F1997" w:rsidRDefault="004F1997" w:rsidP="001138D3">
      <w:pPr>
        <w:pStyle w:val="SchemaDefinitionenHeader"/>
        <w:rPr>
          <w:color w:val="auto"/>
        </w:rPr>
      </w:pPr>
      <w:r>
        <w:rPr>
          <w:color w:val="auto"/>
        </w:rPr>
        <w:t>RGZ 105, 406 ff.</w:t>
      </w:r>
    </w:p>
    <w:p w14:paraId="2A1FBA16" w14:textId="25ED7626" w:rsidR="0095536C" w:rsidRDefault="0095536C" w:rsidP="001138D3">
      <w:pPr>
        <w:pStyle w:val="SchemaDefinitionenHeader"/>
        <w:rPr>
          <w:iCs/>
          <w:color w:val="auto"/>
        </w:rPr>
      </w:pPr>
      <w:r>
        <w:rPr>
          <w:color w:val="auto"/>
        </w:rPr>
        <w:t>BGH NJW 1998, 3192.</w:t>
      </w:r>
    </w:p>
    <w:p w14:paraId="4CB5C28F" w14:textId="77777777" w:rsidR="00F41058" w:rsidRDefault="00F41058" w:rsidP="00F41058">
      <w:pPr>
        <w:pStyle w:val="SchemaDefinitionenHeader"/>
        <w:rPr>
          <w:color w:val="auto"/>
        </w:rPr>
      </w:pPr>
      <w:proofErr w:type="spellStart"/>
      <w:r>
        <w:rPr>
          <w:color w:val="auto"/>
        </w:rPr>
        <w:t>JuS</w:t>
      </w:r>
      <w:proofErr w:type="spellEnd"/>
      <w:r>
        <w:rPr>
          <w:color w:val="auto"/>
        </w:rPr>
        <w:t xml:space="preserve"> 2016, 673 – Zum Problem des Abstraktionsprinzips bei Fehleridentität.</w:t>
      </w:r>
    </w:p>
    <w:p w14:paraId="34284A9B" w14:textId="77777777" w:rsidR="00F41058" w:rsidRPr="0081630F" w:rsidRDefault="00F41058" w:rsidP="001138D3">
      <w:pPr>
        <w:pStyle w:val="SchemaDefinitionenHeader"/>
        <w:rPr>
          <w:iCs/>
          <w:color w:val="auto"/>
        </w:rPr>
      </w:pPr>
    </w:p>
    <w:sectPr w:rsidR="00F41058" w:rsidRPr="0081630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94ADB" w14:textId="77777777" w:rsidR="00B3436D" w:rsidRDefault="00B3436D" w:rsidP="0041069B">
      <w:pPr>
        <w:spacing w:after="0" w:line="240" w:lineRule="auto"/>
      </w:pPr>
      <w:r>
        <w:separator/>
      </w:r>
    </w:p>
  </w:endnote>
  <w:endnote w:type="continuationSeparator" w:id="0">
    <w:p w14:paraId="48F9440A" w14:textId="77777777" w:rsidR="00B3436D" w:rsidRDefault="00B3436D" w:rsidP="0041069B">
      <w:pPr>
        <w:spacing w:after="0" w:line="240" w:lineRule="auto"/>
      </w:pPr>
      <w:r>
        <w:continuationSeparator/>
      </w:r>
    </w:p>
  </w:endnote>
  <w:endnote w:type="continuationNotice" w:id="1">
    <w:p w14:paraId="1DB820AD" w14:textId="77777777" w:rsidR="00B3436D" w:rsidRDefault="00B343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5" w:name="_Hlk64808829"/>
        <w:bookmarkStart w:id="6"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824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2DEAB93">
                  <v:line id="Gerader Verbinder 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a5a5a5 [2092]" strokeweight="1pt" from="12.15pt,4.7pt" to="14.85pt,7.7pt" w14:anchorId="4D459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Hq0wEAAAQEAAAOAAAAZHJzL2Uyb0RvYy54bWysU01z2yAQvXem/4HhXkty2jTRWM4hmfTS&#10;j0zb/ACMFosZYBkglv3vuyBbjttTO70gWHbfvve0rO721rAdhKjRdbxZ1JyBk9hrt+3488/Hdzec&#10;xSRcLww66PgBIr9bv32zGn0LSxzQ9BAYgbjYjr7jQ0q+raooB7AiLtCDo0uFwYpEx7Ct+iBGQrem&#10;Wtb1dTVi6H1ACTFS9GG65OuCrxTI9E2pCImZjhO3VNZQ1k1eq/VKtNsg/KDlkYb4BxZWaEdNZ6gH&#10;kQR7CfoPKKtlwIgqLSTaCpXSEooGUtPUv6n5MQgPRQuZE/1sU/x/sPLr7t49BbJh9LGN/ilkFXsV&#10;bP4SP7YvZh1ms2CfmKTg1fvlLTkq6ebqpqmLldW51IeYPgFaljcdN9plJaIVu88xUTtKPaXksHFs&#10;pPlZfiSgfI5odP+ojSmHPA1wbwLbCfqPm21TcsyL/YL9FLv+UM8UyvDk9NLlFRL1NI6CZ6lllw4G&#10;Jg7fQTHdk7ipwQw09RBSgktNnpmCRNm5TBHLufDI/pLwZeExP5dCmdC/KZ4rSmd0aS622mGYvLvs&#10;nvYnymrKPzkw6c4WbLA/lCEo1tCoFYXHZ5Fn+fW5lJ8f7/oXAAAA//8DAFBLAwQUAAYACAAAACEA&#10;Jre+F9sAAAAGAQAADwAAAGRycy9kb3ducmV2LnhtbEyOQU/CQBCF7yb+h82YeDGypRaB2i0xJsSz&#10;QIjHoTu2jd3Z2l2g+usdT3h8eV/e+4rV6Dp1oiG0ng1MJwko4srblmsDu+36fgEqRGSLnWcy8E0B&#10;VuX1VYG59Wd+o9Mm1kpGOORooImxz7UOVUMOw8T3xNJ9+MFhlDjU2g54lnHX6TRJHrXDluWhwZ5e&#10;Gqo+N0cnJ+t3u6X0bo+7n699Yl99Op15Y25vxucnUJHGeIHhT1/UoRSngz+yDaozkGYPQhpYZqCk&#10;TpdzUAfBZhnostD/9ctfAAAA//8DAFBLAQItABQABgAIAAAAIQC2gziS/gAAAOEBAAATAAAAAAAA&#10;AAAAAAAAAAAAAABbQ29udGVudF9UeXBlc10ueG1sUEsBAi0AFAAGAAgAAAAhADj9If/WAAAAlAEA&#10;AAsAAAAAAAAAAAAAAAAALwEAAF9yZWxzLy5yZWxzUEsBAi0AFAAGAAgAAAAhAAFyQerTAQAABAQA&#10;AA4AAAAAAAAAAAAAAAAALgIAAGRycy9lMm9Eb2MueG1sUEsBAi0AFAAGAAgAAAAhACa3vhfbAAAA&#10;BgEAAA8AAAAAAAAAAAAAAAAALQQAAGRycy9kb3ducmV2LnhtbFBLBQYAAAAABAAEAPMAAAA1BQAA&#10;AAA=&#10;">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8241"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97835B9">
                  <v:line id="Gerader Verbinder 5" style="position:absolute;flip:y;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a5a5a5 [2092]" strokeweight="1pt" from="9.9pt,4.9pt" to="12.6pt,7.45pt" w14:anchorId="7C4193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9FY2QEAAA4EAAAOAAAAZHJzL2Uyb0RvYy54bWysU8tu2zAQvBfoPxC815LlJk0FyzkkSC99&#10;BH3daWppEeALJGPJf98lKctJe2rRCyEtd2ZnRqvt7aQVOYIP0pqOrlc1JWC47aU5dPTH94c3N5SE&#10;yEzPlDXQ0RMEert7/Wo7uhYaO1jVgydIYkI7uo4OMbq2qgIfQLOwsg4MXgrrNYv46g9V79mI7FpV&#10;TV1fV6P1vfOWQwhYvS+XdJf5hQAevwgRIBLVUdQW8+nzuU9ntduy9uCZGySfZbB/UKGZNDh0obpn&#10;kZEnL/+g0pJ7G6yIK251ZYWQHLIHdLOuf3PzbWAOshcMJ7glpvD/aPnn45159BjD6EIb3KNPLibh&#10;NRFKup/4TbMvVEqmHNtpiQ2mSDgWN2+b95gtx5tNs7m5SqFWhSSROR/iB7CapIeOKmmSJ9ay48cQ&#10;S+u5JZWVISNObd7VdW4LVsn+QSqVLvNewJ3y5Mjwi+4PRZ160p9sX2rXVzUiC+/SngU9Y0J5ymDx&#10;Yjo/xZOCouErCCJ7NFcGLERlBuMcTFzPU5TB7gQTqHIBzurTIl8EvwTO/QkKeVf/Brwg8mRr4gLW&#10;0lhfsns5PU5nyaL0nxMovlMEe9uf8jrkaHDpcnLzD5K2+vl7hl9+490vAAAA//8DAFBLAwQUAAYA&#10;CAAAACEAhfS20toAAAAGAQAADwAAAGRycy9kb3ducmV2LnhtbEyOzU7DMBCE70i8g7VI3KhD+BFJ&#10;41QRojcOUBDqcRtvk9B4HcVuGt6e7QlOo5lZzX7Fana9mmgMnWcDt4sEFHHtbceNgc+P9c0TqBCR&#10;LfaeycAPBViVlxcF5taf+J2mTWyUjHDI0UAb45BrHeqWHIaFH4il2/vRYRQ7NtqOeJJx1+s0SR61&#10;w47lQ4sDPbdUHzZHZyCu6S6r+Gtvvw++mob6Zfv6lhhzfTVXS1CR5vh3DGd8QYdSmHb+yDaoXnwm&#10;5NHAWaROH1JQO4nvM9Blof/jl78AAAD//wMAUEsBAi0AFAAGAAgAAAAhALaDOJL+AAAA4QEAABMA&#10;AAAAAAAAAAAAAAAAAAAAAFtDb250ZW50X1R5cGVzXS54bWxQSwECLQAUAAYACAAAACEAOP0h/9YA&#10;AACUAQAACwAAAAAAAAAAAAAAAAAvAQAAX3JlbHMvLnJlbHNQSwECLQAUAAYACAAAACEAp/fRWNkB&#10;AAAOBAAADgAAAAAAAAAAAAAAAAAuAgAAZHJzL2Uyb0RvYy54bWxQSwECLQAUAAYACAAAACEAhfS2&#10;0toAAAAGAQAADwAAAAAAAAAAAAAAAAAzBAAAZHJzL2Rvd25yZXYueG1sUEsFBgAAAAAEAAQA8wAA&#10;ADoFAAAAAA==&#10;">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8240"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w14:anchorId="02D53A46">
                  <v:oval id="Ellipse 3" style="position:absolute;margin-left:5.9pt;margin-top:.5pt;width:12.9pt;height:12.5pt;z-index:251658240;visibility:visible;mso-wrap-style:square;mso-wrap-distance-left:9pt;mso-wrap-distance-top:0;mso-wrap-distance-right:9pt;mso-wrap-distance-bottom:0;mso-position-horizontal:absolute;mso-position-horizontal-relative:text;mso-position-vertical:absolute;mso-position-vertical-relative:text;v-text-anchor:middle" href="#header" o:spid="_x0000_s1026" o:button="t" fillcolor="white [3212]" strokecolor="#a5a5a5 [2092]" strokeweight="1pt" w14:anchorId="3AF68B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1qkAIAALYFAAAOAAAAZHJzL2Uyb0RvYy54bWysVMFu2zAMvQ/YPwi6r7azJu2COkXQosOA&#10;ri3aDj0rshQLkEVNUuJkXz9KdpxkDXYYdpFFkXwkn0leXW8aTdbCeQWmpMVZTokwHCplliX98Xr3&#10;6ZISH5ipmAYjSroVnl7PPn64au1UjKAGXQlHEMT4aWtLWodgp1nmeS0a5s/ACoNKCa5hAUW3zCrH&#10;WkRvdDbK80nWgqusAy68x9fbTklnCV9KwcOjlF4EokuKuYV0unQu4pnNrth06ZitFe/TYP+QRcOU&#10;waAD1C0LjKycegfVKO7AgwxnHJoMpFRcpBqwmiL/o5qXmlmRakFyvB1o8v8Plj+sX+yTQxpa66ce&#10;r7GKjXRN/GJ+ZJPI2g5kiU0gHB+LyefL8YgSjqpifDmeXEQys72zdT58FdCQeCmp0FpZH8thU7a+&#10;96Gz3lnFZw9aVXdK6yTEFhA32pE1w5+3WBY9/pGVNqTF+KOLPE/IR8rURccQEVmvmu9QdbCTcY6e&#10;XSqDeSrjAAmL0gYf9xSlW9hqkfDMs5BEVUjKqEviOHXGuTCh6FQ1q0QXOkY+HVpHwIgskYsBuwc4&#10;jd1V0NtHV5Gaf3Du2fmb8+CRIoMJg3OjDLhTlWmsqo/c2e9I6qiJLC2g2j454qAbPW/5ncJ+uGc+&#10;PDGHs4ZTifsjPOIhNeDPhP5GSQ3u16n3aI8jgFpKWpzdkvqfK+YEJfqbweH4Upyfx2FPwvn4YoSC&#10;O9QsDjVm1dwAdliBm8rydI32Qe+u0kHzhmtmHqOiihmOsUvKg9sJN6HbKbiouJjPkxkOuGXh3rxY&#10;HsEjq7HZXzdvzNl+KAJO0wPs5vzdYHS20dPAfBVAqjQ1e157vnE5pJ7tF1ncPodystqv29lvAAAA&#10;//8DAFBLAwQUAAYACAAAACEA6JmDc9sAAAAGAQAADwAAAGRycy9kb3ducmV2LnhtbEyPS0/DMBCE&#10;70j8B2uRuFGnRQoojVMhHjc40CJKb9t4yYN4HcVOGv49ywlOo9GsZr7NN7Pr1ERDaDwbWC4SUMSl&#10;tw1XBt52T1e3oEJEtth5JgPfFGBTnJ/lmFl/4leatrFSUsIhQwN1jH2mdShrchgWvieW7NMPDqPY&#10;odJ2wJOUu06vkiTVDhuWhRp7uq+p/NqOzsC7C+3jZEM7Yv/y/BH2D4d+3xpzeTHfrUFFmuPfMfzi&#10;CzoUwnT0I9ugOvFLIY+i8pHE1zcpqKOBVZqALnL9H7/4AQAA//8DAFBLAQItABQABgAIAAAAIQC2&#10;gziS/gAAAOEBAAATAAAAAAAAAAAAAAAAAAAAAABbQ29udGVudF9UeXBlc10ueG1sUEsBAi0AFAAG&#10;AAgAAAAhADj9If/WAAAAlAEAAAsAAAAAAAAAAAAAAAAALwEAAF9yZWxzLy5yZWxzUEsBAi0AFAAG&#10;AAgAAAAhAFaC3WqQAgAAtgUAAA4AAAAAAAAAAAAAAAAALgIAAGRycy9lMm9Eb2MueG1sUEsBAi0A&#10;FAAGAAgAAAAhAOiZg3PbAAAABgEAAA8AAAAAAAAAAAAAAAAA6gQAAGRycy9kb3ducmV2LnhtbFBL&#10;BQYAAAAABAAEAPMAAADyBQAAAAA=&#10;">
                    <v:fill o:detectmouseclick="t"/>
                    <v:stroke joinstyle="miter"/>
                  </v:oval>
                </w:pict>
              </mc:Fallback>
            </mc:AlternateContent>
          </w:r>
        </w:p>
      </w:tc>
      <w:tc>
        <w:tcPr>
          <w:tcW w:w="3021" w:type="dxa"/>
        </w:tcPr>
        <w:p w14:paraId="62644657" w14:textId="1AF7457E"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5"/>
    <w:bookmarkEnd w:id="6"/>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C817F" w14:textId="77777777" w:rsidR="00B3436D" w:rsidRDefault="00B3436D" w:rsidP="0041069B">
      <w:pPr>
        <w:spacing w:after="0" w:line="240" w:lineRule="auto"/>
      </w:pPr>
      <w:r>
        <w:separator/>
      </w:r>
    </w:p>
  </w:footnote>
  <w:footnote w:type="continuationSeparator" w:id="0">
    <w:p w14:paraId="1803E7F5" w14:textId="77777777" w:rsidR="00B3436D" w:rsidRDefault="00B3436D" w:rsidP="0041069B">
      <w:pPr>
        <w:spacing w:after="0" w:line="240" w:lineRule="auto"/>
      </w:pPr>
      <w:r>
        <w:continuationSeparator/>
      </w:r>
    </w:p>
  </w:footnote>
  <w:footnote w:type="continuationNotice" w:id="1">
    <w:p w14:paraId="6747AE68" w14:textId="77777777" w:rsidR="00B3436D" w:rsidRDefault="00B343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DEE7783"/>
    <w:multiLevelType w:val="hybridMultilevel"/>
    <w:tmpl w:val="B972EE46"/>
    <w:lvl w:ilvl="0" w:tplc="F6E2C330">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E333FEC"/>
    <w:multiLevelType w:val="hybridMultilevel"/>
    <w:tmpl w:val="8C94B196"/>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02303F8"/>
    <w:multiLevelType w:val="hybridMultilevel"/>
    <w:tmpl w:val="B972EE46"/>
    <w:lvl w:ilvl="0" w:tplc="FFFFFFFF">
      <w:start w:val="1"/>
      <w:numFmt w:val="upperRoman"/>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9"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1"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2"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3"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4"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5"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6" w15:restartNumberingAfterBreak="0">
    <w:nsid w:val="5E11777A"/>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8"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9"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0"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21"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4"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5"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6"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7"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573466895">
    <w:abstractNumId w:val="22"/>
  </w:num>
  <w:num w:numId="2" w16cid:durableId="288436978">
    <w:abstractNumId w:val="5"/>
  </w:num>
  <w:num w:numId="3" w16cid:durableId="1437749215">
    <w:abstractNumId w:val="8"/>
  </w:num>
  <w:num w:numId="4" w16cid:durableId="536745017">
    <w:abstractNumId w:val="24"/>
  </w:num>
  <w:num w:numId="5" w16cid:durableId="1500850497">
    <w:abstractNumId w:val="27"/>
  </w:num>
  <w:num w:numId="6" w16cid:durableId="1829595927">
    <w:abstractNumId w:val="15"/>
  </w:num>
  <w:num w:numId="7" w16cid:durableId="1090201335">
    <w:abstractNumId w:val="12"/>
  </w:num>
  <w:num w:numId="8" w16cid:durableId="1823425077">
    <w:abstractNumId w:val="19"/>
  </w:num>
  <w:num w:numId="9" w16cid:durableId="1089735542">
    <w:abstractNumId w:val="23"/>
  </w:num>
  <w:num w:numId="10" w16cid:durableId="394477522">
    <w:abstractNumId w:val="13"/>
  </w:num>
  <w:num w:numId="11" w16cid:durableId="190072872">
    <w:abstractNumId w:val="26"/>
  </w:num>
  <w:num w:numId="12" w16cid:durableId="123084640">
    <w:abstractNumId w:val="14"/>
  </w:num>
  <w:num w:numId="13" w16cid:durableId="61292737">
    <w:abstractNumId w:val="25"/>
  </w:num>
  <w:num w:numId="14" w16cid:durableId="1508054485">
    <w:abstractNumId w:val="20"/>
  </w:num>
  <w:num w:numId="15" w16cid:durableId="595751748">
    <w:abstractNumId w:val="11"/>
  </w:num>
  <w:num w:numId="16" w16cid:durableId="2100053140">
    <w:abstractNumId w:val="0"/>
  </w:num>
  <w:num w:numId="17" w16cid:durableId="333797860">
    <w:abstractNumId w:val="17"/>
  </w:num>
  <w:num w:numId="18" w16cid:durableId="1279946311">
    <w:abstractNumId w:val="2"/>
  </w:num>
  <w:num w:numId="19" w16cid:durableId="1189947260">
    <w:abstractNumId w:val="18"/>
  </w:num>
  <w:num w:numId="20" w16cid:durableId="694506112">
    <w:abstractNumId w:val="3"/>
  </w:num>
  <w:num w:numId="21" w16cid:durableId="1140541446">
    <w:abstractNumId w:val="10"/>
  </w:num>
  <w:num w:numId="22" w16cid:durableId="2059041750">
    <w:abstractNumId w:val="1"/>
  </w:num>
  <w:num w:numId="23" w16cid:durableId="966545969">
    <w:abstractNumId w:val="9"/>
  </w:num>
  <w:num w:numId="24" w16cid:durableId="2043941546">
    <w:abstractNumId w:val="21"/>
  </w:num>
  <w:num w:numId="25" w16cid:durableId="2126924379">
    <w:abstractNumId w:val="6"/>
  </w:num>
  <w:num w:numId="26" w16cid:durableId="796989988">
    <w:abstractNumId w:val="4"/>
  </w:num>
  <w:num w:numId="27" w16cid:durableId="20525326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066239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57210392">
    <w:abstractNumId w:val="7"/>
  </w:num>
  <w:num w:numId="30" w16cid:durableId="309990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14EF5"/>
    <w:rsid w:val="000209B9"/>
    <w:rsid w:val="00040184"/>
    <w:rsid w:val="0005621C"/>
    <w:rsid w:val="0009511C"/>
    <w:rsid w:val="000C68A3"/>
    <w:rsid w:val="000E1F1D"/>
    <w:rsid w:val="0010748A"/>
    <w:rsid w:val="00111574"/>
    <w:rsid w:val="00112629"/>
    <w:rsid w:val="001129D2"/>
    <w:rsid w:val="001138D3"/>
    <w:rsid w:val="00124A0D"/>
    <w:rsid w:val="001722BB"/>
    <w:rsid w:val="0017497A"/>
    <w:rsid w:val="00181756"/>
    <w:rsid w:val="00185932"/>
    <w:rsid w:val="00192777"/>
    <w:rsid w:val="00215223"/>
    <w:rsid w:val="00216ADA"/>
    <w:rsid w:val="00216E52"/>
    <w:rsid w:val="00217BEE"/>
    <w:rsid w:val="002230EF"/>
    <w:rsid w:val="00243690"/>
    <w:rsid w:val="00257175"/>
    <w:rsid w:val="002577DC"/>
    <w:rsid w:val="00257A0B"/>
    <w:rsid w:val="0028105D"/>
    <w:rsid w:val="00291E5E"/>
    <w:rsid w:val="00295E1E"/>
    <w:rsid w:val="00296A91"/>
    <w:rsid w:val="002C7B26"/>
    <w:rsid w:val="002D2CCD"/>
    <w:rsid w:val="002D7085"/>
    <w:rsid w:val="002F4BED"/>
    <w:rsid w:val="00307706"/>
    <w:rsid w:val="00321FF4"/>
    <w:rsid w:val="003642F6"/>
    <w:rsid w:val="00391B0B"/>
    <w:rsid w:val="00397A7D"/>
    <w:rsid w:val="003D5108"/>
    <w:rsid w:val="003F7D60"/>
    <w:rsid w:val="00401C7B"/>
    <w:rsid w:val="004053AD"/>
    <w:rsid w:val="0041069B"/>
    <w:rsid w:val="0041536D"/>
    <w:rsid w:val="00415653"/>
    <w:rsid w:val="00434001"/>
    <w:rsid w:val="004359B7"/>
    <w:rsid w:val="00445655"/>
    <w:rsid w:val="00446D1C"/>
    <w:rsid w:val="00455C3E"/>
    <w:rsid w:val="0047279C"/>
    <w:rsid w:val="00473757"/>
    <w:rsid w:val="0048696D"/>
    <w:rsid w:val="00492F79"/>
    <w:rsid w:val="004A7925"/>
    <w:rsid w:val="004D1DFB"/>
    <w:rsid w:val="004F059B"/>
    <w:rsid w:val="004F1997"/>
    <w:rsid w:val="004F4D59"/>
    <w:rsid w:val="00511048"/>
    <w:rsid w:val="005165A0"/>
    <w:rsid w:val="00517716"/>
    <w:rsid w:val="00522A4E"/>
    <w:rsid w:val="00527F0C"/>
    <w:rsid w:val="0053009D"/>
    <w:rsid w:val="0054209F"/>
    <w:rsid w:val="0055671F"/>
    <w:rsid w:val="00574C17"/>
    <w:rsid w:val="005959EF"/>
    <w:rsid w:val="005A4600"/>
    <w:rsid w:val="005A556D"/>
    <w:rsid w:val="005C50FA"/>
    <w:rsid w:val="005D51D0"/>
    <w:rsid w:val="005D6182"/>
    <w:rsid w:val="005E2DC1"/>
    <w:rsid w:val="005F5E37"/>
    <w:rsid w:val="005F668B"/>
    <w:rsid w:val="006178E1"/>
    <w:rsid w:val="006242E8"/>
    <w:rsid w:val="006273AB"/>
    <w:rsid w:val="006303EB"/>
    <w:rsid w:val="00676830"/>
    <w:rsid w:val="00685E8F"/>
    <w:rsid w:val="00693D80"/>
    <w:rsid w:val="00695164"/>
    <w:rsid w:val="006A013A"/>
    <w:rsid w:val="006B7D18"/>
    <w:rsid w:val="006D6834"/>
    <w:rsid w:val="006D77EF"/>
    <w:rsid w:val="006E1970"/>
    <w:rsid w:val="006E34BE"/>
    <w:rsid w:val="00715314"/>
    <w:rsid w:val="0072178F"/>
    <w:rsid w:val="00722F4A"/>
    <w:rsid w:val="007438FC"/>
    <w:rsid w:val="00744F0C"/>
    <w:rsid w:val="00756EF3"/>
    <w:rsid w:val="00763B80"/>
    <w:rsid w:val="0077736A"/>
    <w:rsid w:val="007A5513"/>
    <w:rsid w:val="007B5350"/>
    <w:rsid w:val="007C4C5F"/>
    <w:rsid w:val="007C5970"/>
    <w:rsid w:val="007D1C6B"/>
    <w:rsid w:val="007D788D"/>
    <w:rsid w:val="007F54BD"/>
    <w:rsid w:val="0081284B"/>
    <w:rsid w:val="0081630F"/>
    <w:rsid w:val="00817117"/>
    <w:rsid w:val="008310A8"/>
    <w:rsid w:val="00833AED"/>
    <w:rsid w:val="00856EB0"/>
    <w:rsid w:val="008627A7"/>
    <w:rsid w:val="008940E5"/>
    <w:rsid w:val="008953F3"/>
    <w:rsid w:val="008959AC"/>
    <w:rsid w:val="008975C9"/>
    <w:rsid w:val="008A1DB3"/>
    <w:rsid w:val="008A3A0E"/>
    <w:rsid w:val="008B023B"/>
    <w:rsid w:val="008C28E7"/>
    <w:rsid w:val="008C7B6C"/>
    <w:rsid w:val="008D4832"/>
    <w:rsid w:val="008E352C"/>
    <w:rsid w:val="008E497E"/>
    <w:rsid w:val="00905076"/>
    <w:rsid w:val="0095536C"/>
    <w:rsid w:val="00964D21"/>
    <w:rsid w:val="00971771"/>
    <w:rsid w:val="00972614"/>
    <w:rsid w:val="00976D2C"/>
    <w:rsid w:val="0099739B"/>
    <w:rsid w:val="009A223F"/>
    <w:rsid w:val="009A7135"/>
    <w:rsid w:val="009B5901"/>
    <w:rsid w:val="009C4243"/>
    <w:rsid w:val="00A07F0F"/>
    <w:rsid w:val="00A15D78"/>
    <w:rsid w:val="00A32D43"/>
    <w:rsid w:val="00A44A27"/>
    <w:rsid w:val="00A46F6B"/>
    <w:rsid w:val="00A55CC5"/>
    <w:rsid w:val="00A60D0D"/>
    <w:rsid w:val="00A6156E"/>
    <w:rsid w:val="00A84793"/>
    <w:rsid w:val="00AA40D2"/>
    <w:rsid w:val="00AA494C"/>
    <w:rsid w:val="00B12B18"/>
    <w:rsid w:val="00B20871"/>
    <w:rsid w:val="00B21F8D"/>
    <w:rsid w:val="00B22339"/>
    <w:rsid w:val="00B319F6"/>
    <w:rsid w:val="00B3436D"/>
    <w:rsid w:val="00B459C4"/>
    <w:rsid w:val="00B63DDA"/>
    <w:rsid w:val="00B65D0D"/>
    <w:rsid w:val="00B7208C"/>
    <w:rsid w:val="00B73EA6"/>
    <w:rsid w:val="00B868F7"/>
    <w:rsid w:val="00BB2365"/>
    <w:rsid w:val="00BD2432"/>
    <w:rsid w:val="00BD2E3C"/>
    <w:rsid w:val="00BE13DA"/>
    <w:rsid w:val="00BF57DB"/>
    <w:rsid w:val="00C2164B"/>
    <w:rsid w:val="00C33C47"/>
    <w:rsid w:val="00C35596"/>
    <w:rsid w:val="00CB2C5C"/>
    <w:rsid w:val="00CD1E54"/>
    <w:rsid w:val="00CF47F5"/>
    <w:rsid w:val="00D01277"/>
    <w:rsid w:val="00D118B1"/>
    <w:rsid w:val="00D15FA7"/>
    <w:rsid w:val="00D34DA9"/>
    <w:rsid w:val="00D47DF9"/>
    <w:rsid w:val="00D7007F"/>
    <w:rsid w:val="00D7592C"/>
    <w:rsid w:val="00D76651"/>
    <w:rsid w:val="00DA50E0"/>
    <w:rsid w:val="00DC2850"/>
    <w:rsid w:val="00DC404C"/>
    <w:rsid w:val="00DD34DC"/>
    <w:rsid w:val="00DD7E5E"/>
    <w:rsid w:val="00DE7393"/>
    <w:rsid w:val="00DF37EC"/>
    <w:rsid w:val="00E00DCA"/>
    <w:rsid w:val="00E2483A"/>
    <w:rsid w:val="00E31E5E"/>
    <w:rsid w:val="00E471C9"/>
    <w:rsid w:val="00E544FB"/>
    <w:rsid w:val="00E65F8B"/>
    <w:rsid w:val="00E67011"/>
    <w:rsid w:val="00E70476"/>
    <w:rsid w:val="00E715C3"/>
    <w:rsid w:val="00E76954"/>
    <w:rsid w:val="00E82DCE"/>
    <w:rsid w:val="00E9173B"/>
    <w:rsid w:val="00E950D0"/>
    <w:rsid w:val="00EA3617"/>
    <w:rsid w:val="00EA4BF1"/>
    <w:rsid w:val="00EA60E3"/>
    <w:rsid w:val="00EC5E09"/>
    <w:rsid w:val="00EE5B5C"/>
    <w:rsid w:val="00EF11AF"/>
    <w:rsid w:val="00EF6AA4"/>
    <w:rsid w:val="00F14D6C"/>
    <w:rsid w:val="00F304A1"/>
    <w:rsid w:val="00F30AC0"/>
    <w:rsid w:val="00F41058"/>
    <w:rsid w:val="00F41C05"/>
    <w:rsid w:val="00F81286"/>
    <w:rsid w:val="00F83056"/>
    <w:rsid w:val="00F90F16"/>
    <w:rsid w:val="00FB5DFB"/>
    <w:rsid w:val="00FD0214"/>
    <w:rsid w:val="00FD6473"/>
    <w:rsid w:val="00FE1533"/>
    <w:rsid w:val="00FE21BF"/>
    <w:rsid w:val="00FE26F1"/>
    <w:rsid w:val="00FE66FF"/>
    <w:rsid w:val="00FE79D7"/>
    <w:rsid w:val="00FF36D7"/>
    <w:rsid w:val="0CB667F4"/>
    <w:rsid w:val="2F364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paragraph" w:styleId="berarbeitung">
    <w:name w:val="Revision"/>
    <w:hidden/>
    <w:uiPriority w:val="99"/>
    <w:semiHidden/>
    <w:rsid w:val="0005621C"/>
    <w:pPr>
      <w:spacing w:after="0" w:line="240" w:lineRule="auto"/>
    </w:pPr>
  </w:style>
  <w:style w:type="character" w:styleId="Kommentarzeichen">
    <w:name w:val="annotation reference"/>
    <w:basedOn w:val="Absatz-Standardschriftart"/>
    <w:uiPriority w:val="99"/>
    <w:semiHidden/>
    <w:unhideWhenUsed/>
    <w:rsid w:val="00FB5DFB"/>
    <w:rPr>
      <w:sz w:val="16"/>
      <w:szCs w:val="16"/>
    </w:rPr>
  </w:style>
  <w:style w:type="paragraph" w:styleId="Kommentartext">
    <w:name w:val="annotation text"/>
    <w:basedOn w:val="Standard"/>
    <w:link w:val="KommentartextZchn"/>
    <w:uiPriority w:val="99"/>
    <w:unhideWhenUsed/>
    <w:rsid w:val="00FB5DFB"/>
    <w:pPr>
      <w:spacing w:line="240" w:lineRule="auto"/>
    </w:pPr>
    <w:rPr>
      <w:sz w:val="20"/>
      <w:szCs w:val="20"/>
    </w:rPr>
  </w:style>
  <w:style w:type="character" w:customStyle="1" w:styleId="KommentartextZchn">
    <w:name w:val="Kommentartext Zchn"/>
    <w:basedOn w:val="Absatz-Standardschriftart"/>
    <w:link w:val="Kommentartext"/>
    <w:uiPriority w:val="99"/>
    <w:rsid w:val="00FB5DFB"/>
    <w:rPr>
      <w:sz w:val="20"/>
      <w:szCs w:val="20"/>
    </w:rPr>
  </w:style>
  <w:style w:type="paragraph" w:styleId="Kommentarthema">
    <w:name w:val="annotation subject"/>
    <w:basedOn w:val="Kommentartext"/>
    <w:next w:val="Kommentartext"/>
    <w:link w:val="KommentarthemaZchn"/>
    <w:uiPriority w:val="99"/>
    <w:semiHidden/>
    <w:unhideWhenUsed/>
    <w:rsid w:val="00FB5DFB"/>
    <w:rPr>
      <w:b/>
      <w:bCs/>
    </w:rPr>
  </w:style>
  <w:style w:type="character" w:customStyle="1" w:styleId="KommentarthemaZchn">
    <w:name w:val="Kommentarthema Zchn"/>
    <w:basedOn w:val="KommentartextZchn"/>
    <w:link w:val="Kommentarthema"/>
    <w:uiPriority w:val="99"/>
    <w:semiHidden/>
    <w:rsid w:val="00FB5D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1672">
      <w:bodyDiv w:val="1"/>
      <w:marLeft w:val="0"/>
      <w:marRight w:val="0"/>
      <w:marTop w:val="0"/>
      <w:marBottom w:val="0"/>
      <w:divBdr>
        <w:top w:val="none" w:sz="0" w:space="0" w:color="auto"/>
        <w:left w:val="none" w:sz="0" w:space="0" w:color="auto"/>
        <w:bottom w:val="none" w:sz="0" w:space="0" w:color="auto"/>
        <w:right w:val="none" w:sz="0" w:space="0" w:color="auto"/>
      </w:divBdr>
    </w:div>
    <w:div w:id="362368967">
      <w:bodyDiv w:val="1"/>
      <w:marLeft w:val="0"/>
      <w:marRight w:val="0"/>
      <w:marTop w:val="0"/>
      <w:marBottom w:val="0"/>
      <w:divBdr>
        <w:top w:val="none" w:sz="0" w:space="0" w:color="auto"/>
        <w:left w:val="none" w:sz="0" w:space="0" w:color="auto"/>
        <w:bottom w:val="none" w:sz="0" w:space="0" w:color="auto"/>
        <w:right w:val="none" w:sz="0" w:space="0" w:color="auto"/>
      </w:divBdr>
    </w:div>
    <w:div w:id="412240545">
      <w:bodyDiv w:val="1"/>
      <w:marLeft w:val="0"/>
      <w:marRight w:val="0"/>
      <w:marTop w:val="0"/>
      <w:marBottom w:val="0"/>
      <w:divBdr>
        <w:top w:val="none" w:sz="0" w:space="0" w:color="auto"/>
        <w:left w:val="none" w:sz="0" w:space="0" w:color="auto"/>
        <w:bottom w:val="none" w:sz="0" w:space="0" w:color="auto"/>
        <w:right w:val="none" w:sz="0" w:space="0" w:color="auto"/>
      </w:divBdr>
    </w:div>
    <w:div w:id="812865817">
      <w:bodyDiv w:val="1"/>
      <w:marLeft w:val="0"/>
      <w:marRight w:val="0"/>
      <w:marTop w:val="0"/>
      <w:marBottom w:val="0"/>
      <w:divBdr>
        <w:top w:val="none" w:sz="0" w:space="0" w:color="auto"/>
        <w:left w:val="none" w:sz="0" w:space="0" w:color="auto"/>
        <w:bottom w:val="none" w:sz="0" w:space="0" w:color="auto"/>
        <w:right w:val="none" w:sz="0" w:space="0" w:color="auto"/>
      </w:divBdr>
    </w:div>
    <w:div w:id="1007054176">
      <w:bodyDiv w:val="1"/>
      <w:marLeft w:val="0"/>
      <w:marRight w:val="0"/>
      <w:marTop w:val="0"/>
      <w:marBottom w:val="0"/>
      <w:divBdr>
        <w:top w:val="none" w:sz="0" w:space="0" w:color="auto"/>
        <w:left w:val="none" w:sz="0" w:space="0" w:color="auto"/>
        <w:bottom w:val="none" w:sz="0" w:space="0" w:color="auto"/>
        <w:right w:val="none" w:sz="0" w:space="0" w:color="auto"/>
      </w:divBdr>
    </w:div>
    <w:div w:id="1149127037">
      <w:bodyDiv w:val="1"/>
      <w:marLeft w:val="0"/>
      <w:marRight w:val="0"/>
      <w:marTop w:val="0"/>
      <w:marBottom w:val="0"/>
      <w:divBdr>
        <w:top w:val="none" w:sz="0" w:space="0" w:color="auto"/>
        <w:left w:val="none" w:sz="0" w:space="0" w:color="auto"/>
        <w:bottom w:val="none" w:sz="0" w:space="0" w:color="auto"/>
        <w:right w:val="none" w:sz="0" w:space="0" w:color="auto"/>
      </w:divBdr>
    </w:div>
    <w:div w:id="1279800323">
      <w:bodyDiv w:val="1"/>
      <w:marLeft w:val="0"/>
      <w:marRight w:val="0"/>
      <w:marTop w:val="0"/>
      <w:marBottom w:val="0"/>
      <w:divBdr>
        <w:top w:val="none" w:sz="0" w:space="0" w:color="auto"/>
        <w:left w:val="none" w:sz="0" w:space="0" w:color="auto"/>
        <w:bottom w:val="none" w:sz="0" w:space="0" w:color="auto"/>
        <w:right w:val="none" w:sz="0" w:space="0" w:color="auto"/>
      </w:divBdr>
    </w:div>
    <w:div w:id="1417242667">
      <w:bodyDiv w:val="1"/>
      <w:marLeft w:val="0"/>
      <w:marRight w:val="0"/>
      <w:marTop w:val="0"/>
      <w:marBottom w:val="0"/>
      <w:divBdr>
        <w:top w:val="none" w:sz="0" w:space="0" w:color="auto"/>
        <w:left w:val="none" w:sz="0" w:space="0" w:color="auto"/>
        <w:bottom w:val="none" w:sz="0" w:space="0" w:color="auto"/>
        <w:right w:val="none" w:sz="0" w:space="0" w:color="auto"/>
      </w:divBdr>
    </w:div>
    <w:div w:id="1452626804">
      <w:bodyDiv w:val="1"/>
      <w:marLeft w:val="0"/>
      <w:marRight w:val="0"/>
      <w:marTop w:val="0"/>
      <w:marBottom w:val="0"/>
      <w:divBdr>
        <w:top w:val="none" w:sz="0" w:space="0" w:color="auto"/>
        <w:left w:val="none" w:sz="0" w:space="0" w:color="auto"/>
        <w:bottom w:val="none" w:sz="0" w:space="0" w:color="auto"/>
        <w:right w:val="none" w:sz="0" w:space="0" w:color="auto"/>
      </w:divBdr>
    </w:div>
    <w:div w:id="1483766636">
      <w:bodyDiv w:val="1"/>
      <w:marLeft w:val="0"/>
      <w:marRight w:val="0"/>
      <w:marTop w:val="0"/>
      <w:marBottom w:val="0"/>
      <w:divBdr>
        <w:top w:val="none" w:sz="0" w:space="0" w:color="auto"/>
        <w:left w:val="none" w:sz="0" w:space="0" w:color="auto"/>
        <w:bottom w:val="none" w:sz="0" w:space="0" w:color="auto"/>
        <w:right w:val="none" w:sz="0" w:space="0" w:color="auto"/>
      </w:divBdr>
    </w:div>
    <w:div w:id="1930696086">
      <w:bodyDiv w:val="1"/>
      <w:marLeft w:val="0"/>
      <w:marRight w:val="0"/>
      <w:marTop w:val="0"/>
      <w:marBottom w:val="0"/>
      <w:divBdr>
        <w:top w:val="none" w:sz="0" w:space="0" w:color="auto"/>
        <w:left w:val="none" w:sz="0" w:space="0" w:color="auto"/>
        <w:bottom w:val="none" w:sz="0" w:space="0" w:color="auto"/>
        <w:right w:val="none" w:sz="0" w:space="0" w:color="auto"/>
      </w:divBdr>
    </w:div>
    <w:div w:id="1940601859">
      <w:bodyDiv w:val="1"/>
      <w:marLeft w:val="0"/>
      <w:marRight w:val="0"/>
      <w:marTop w:val="0"/>
      <w:marBottom w:val="0"/>
      <w:divBdr>
        <w:top w:val="none" w:sz="0" w:space="0" w:color="auto"/>
        <w:left w:val="none" w:sz="0" w:space="0" w:color="auto"/>
        <w:bottom w:val="none" w:sz="0" w:space="0" w:color="auto"/>
        <w:right w:val="none" w:sz="0" w:space="0" w:color="auto"/>
      </w:divBdr>
    </w:div>
    <w:div w:id="1968466211">
      <w:bodyDiv w:val="1"/>
      <w:marLeft w:val="0"/>
      <w:marRight w:val="0"/>
      <w:marTop w:val="0"/>
      <w:marBottom w:val="0"/>
      <w:divBdr>
        <w:top w:val="none" w:sz="0" w:space="0" w:color="auto"/>
        <w:left w:val="none" w:sz="0" w:space="0" w:color="auto"/>
        <w:bottom w:val="none" w:sz="0" w:space="0" w:color="auto"/>
        <w:right w:val="none" w:sz="0" w:space="0" w:color="auto"/>
      </w:divBdr>
    </w:div>
    <w:div w:id="1973511928">
      <w:bodyDiv w:val="1"/>
      <w:marLeft w:val="0"/>
      <w:marRight w:val="0"/>
      <w:marTop w:val="0"/>
      <w:marBottom w:val="0"/>
      <w:divBdr>
        <w:top w:val="none" w:sz="0" w:space="0" w:color="auto"/>
        <w:left w:val="none" w:sz="0" w:space="0" w:color="auto"/>
        <w:bottom w:val="none" w:sz="0" w:space="0" w:color="auto"/>
        <w:right w:val="none" w:sz="0" w:space="0" w:color="auto"/>
      </w:divBdr>
    </w:div>
    <w:div w:id="213452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1466</Words>
  <Characters>9239</Characters>
  <Application>Microsoft Office Word</Application>
  <DocSecurity>0</DocSecurity>
  <Lines>76</Lines>
  <Paragraphs>21</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27</cp:revision>
  <cp:lastPrinted>2023-01-21T14:59:00Z</cp:lastPrinted>
  <dcterms:created xsi:type="dcterms:W3CDTF">2022-09-06T10:33:00Z</dcterms:created>
  <dcterms:modified xsi:type="dcterms:W3CDTF">2023-01-21T14:59:00Z</dcterms:modified>
</cp:coreProperties>
</file>