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A9E2" w14:textId="6C4C2C48" w:rsidR="008165F5" w:rsidRPr="00715314" w:rsidRDefault="008165F5" w:rsidP="008165F5">
      <w:pPr>
        <w:jc w:val="both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Aufbau eines Anspruchs</w:t>
      </w:r>
    </w:p>
    <w:p w14:paraId="4538D0C1" w14:textId="77777777" w:rsidR="005A1B6D" w:rsidRDefault="005A1B6D" w:rsidP="005A1B6D">
      <w:pPr>
        <w:pStyle w:val="SchemaDefinitionenHeader"/>
      </w:pPr>
      <w:r>
        <w:t>Definitionen</w:t>
      </w:r>
    </w:p>
    <w:p w14:paraId="2FAD482B" w14:textId="77777777" w:rsidR="005A1B6D" w:rsidRDefault="005A1B6D" w:rsidP="005A1B6D">
      <w:pPr>
        <w:pStyle w:val="SchemaDefinitionenHeader"/>
        <w:rPr>
          <w:color w:val="auto"/>
        </w:rPr>
      </w:pPr>
    </w:p>
    <w:p w14:paraId="25B65B1C" w14:textId="79A21FEA" w:rsidR="005A1B6D" w:rsidRDefault="008165F5" w:rsidP="005A1B6D">
      <w:pPr>
        <w:pStyle w:val="SchemaDefinitionenHeader"/>
        <w:rPr>
          <w:color w:val="auto"/>
        </w:rPr>
      </w:pPr>
      <w:r>
        <w:rPr>
          <w:color w:val="auto"/>
        </w:rPr>
        <w:t>Rechtshindernde Einwendungen</w:t>
      </w:r>
    </w:p>
    <w:p w14:paraId="2BC9CA4A" w14:textId="481D0514" w:rsidR="008165F5" w:rsidRDefault="008165F5" w:rsidP="008165F5">
      <w:pPr>
        <w:pStyle w:val="SchemaDefinitionenHeader"/>
        <w:ind w:left="2124"/>
        <w:rPr>
          <w:color w:val="auto"/>
        </w:rPr>
      </w:pPr>
      <w:r w:rsidRPr="008165F5">
        <w:rPr>
          <w:i/>
          <w:iCs/>
          <w:color w:val="auto"/>
        </w:rPr>
        <w:t>Rechtshindernde Einwendungen</w:t>
      </w:r>
      <w:r w:rsidRPr="00B76615">
        <w:rPr>
          <w:color w:val="auto"/>
        </w:rPr>
        <w:t xml:space="preserve"> </w:t>
      </w:r>
      <w:r w:rsidRPr="008165F5">
        <w:rPr>
          <w:iCs/>
          <w:color w:val="auto"/>
        </w:rPr>
        <w:t>verhindern die Entstehung</w:t>
      </w:r>
      <w:r>
        <w:rPr>
          <w:color w:val="auto"/>
        </w:rPr>
        <w:t xml:space="preserve"> eines Anspruchs und sind von Amts wegen zu berücksichtigen, die Partei muss sich also nicht darauf berufen. Sie</w:t>
      </w:r>
      <w:r w:rsidRPr="00B76615">
        <w:rPr>
          <w:color w:val="auto"/>
        </w:rPr>
        <w:t xml:space="preserve"> sind oft erkennbar am Wortlaut „ist </w:t>
      </w:r>
      <w:r w:rsidRPr="00B76615">
        <w:rPr>
          <w:color w:val="auto"/>
          <w:sz w:val="20"/>
          <w:szCs w:val="20"/>
        </w:rPr>
        <w:t>[</w:t>
      </w:r>
      <w:r w:rsidRPr="00B76615">
        <w:rPr>
          <w:color w:val="auto"/>
        </w:rPr>
        <w:t>…] unwirksam“ oder „ist […] nichtig“</w:t>
      </w:r>
      <w:r>
        <w:rPr>
          <w:color w:val="auto"/>
        </w:rPr>
        <w:t xml:space="preserve"> und sind im Rahmen des Prüfungspunktes „Anspruch entstanden“ zu prüfen. Hierunter zählen insbesondere: § 105 I; §§ 108 I, 111; § 125 S. 1; § 134; § 138 II; § 138 I BGB. </w:t>
      </w:r>
    </w:p>
    <w:p w14:paraId="18F8E40F" w14:textId="77777777" w:rsidR="005A1B6D" w:rsidRDefault="005A1B6D" w:rsidP="005A1B6D">
      <w:pPr>
        <w:pStyle w:val="SchemaDefinitionenHeader"/>
        <w:rPr>
          <w:color w:val="auto"/>
        </w:rPr>
      </w:pPr>
    </w:p>
    <w:p w14:paraId="1F51DB02" w14:textId="2FF67D3D" w:rsidR="005A1B6D" w:rsidRDefault="008165F5" w:rsidP="005A1B6D">
      <w:pPr>
        <w:pStyle w:val="SchemaDefinitionenHeader"/>
        <w:rPr>
          <w:color w:val="auto"/>
        </w:rPr>
      </w:pPr>
      <w:r>
        <w:rPr>
          <w:color w:val="auto"/>
        </w:rPr>
        <w:t>Rechtsvernichtende Einwendungen</w:t>
      </w:r>
    </w:p>
    <w:p w14:paraId="2357BCDD" w14:textId="3FF69EC0" w:rsidR="008165F5" w:rsidRPr="00F55FA4" w:rsidRDefault="008165F5" w:rsidP="00F4789F">
      <w:pPr>
        <w:pStyle w:val="SchemaDefinitionenHeader"/>
        <w:ind w:left="2124"/>
        <w:rPr>
          <w:bCs/>
          <w:color w:val="auto"/>
        </w:rPr>
      </w:pPr>
      <w:r w:rsidRPr="008165F5">
        <w:rPr>
          <w:bCs/>
          <w:i/>
          <w:iCs/>
          <w:color w:val="auto"/>
        </w:rPr>
        <w:t>Rechtsvernichtende Einwendungen</w:t>
      </w:r>
      <w:r>
        <w:rPr>
          <w:bCs/>
          <w:color w:val="auto"/>
        </w:rPr>
        <w:t xml:space="preserve"> bringen einen bereits entstandenen </w:t>
      </w:r>
      <w:r w:rsidRPr="008165F5">
        <w:rPr>
          <w:bCs/>
          <w:color w:val="auto"/>
        </w:rPr>
        <w:t>Anspruch nachträglich zum Erlöschen</w:t>
      </w:r>
      <w:r w:rsidR="00751ACE">
        <w:rPr>
          <w:bCs/>
          <w:color w:val="auto"/>
        </w:rPr>
        <w:t>, weshalb sie im Rahmen des Prüfungspunktes „Anspruch erloschen“ thematisiert werden.</w:t>
      </w:r>
      <w:r>
        <w:rPr>
          <w:bCs/>
          <w:i/>
          <w:color w:val="auto"/>
        </w:rPr>
        <w:t xml:space="preserve"> </w:t>
      </w:r>
      <w:r w:rsidR="00751ACE">
        <w:rPr>
          <w:bCs/>
          <w:color w:val="auto"/>
        </w:rPr>
        <w:t>Sie sind oft am Wortlaut „ist […] ausgeschlossen“ erkennbar.</w:t>
      </w:r>
      <w:r w:rsidR="00F4789F">
        <w:rPr>
          <w:bCs/>
          <w:color w:val="auto"/>
        </w:rPr>
        <w:t xml:space="preserve"> </w:t>
      </w:r>
      <w:r>
        <w:rPr>
          <w:bCs/>
          <w:color w:val="auto"/>
        </w:rPr>
        <w:t xml:space="preserve">Beachte, dass sie – wie rechtshindernde Einwendungen ebenfalls – von Amts wegen zu prüfen sind. Dennoch sind Gestaltungsrechte (z.B. Rücktritt, § 346 I BGB) dem anderen Teil gegenüber zu erklären. Klassische rechtsvernichtende Einwendungen sind: § 362 I; § 364, </w:t>
      </w:r>
      <w:r>
        <w:rPr>
          <w:bCs/>
          <w:color w:val="auto"/>
        </w:rPr>
        <w:br/>
        <w:t>§ 378; § 389; § 142; § 346 I; § 355 I 1; § 275 I, 326 I BGB.</w:t>
      </w:r>
    </w:p>
    <w:p w14:paraId="4A7090A7" w14:textId="77777777" w:rsidR="005A1B6D" w:rsidRDefault="005A1B6D" w:rsidP="005A1B6D">
      <w:pPr>
        <w:pStyle w:val="SchemaDefinitionenHeader"/>
        <w:rPr>
          <w:color w:val="auto"/>
        </w:rPr>
      </w:pPr>
    </w:p>
    <w:p w14:paraId="5B6A3C92" w14:textId="5CBDBD70" w:rsidR="005A1B6D" w:rsidRDefault="008165F5" w:rsidP="005A1B6D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Rechtshemmende Einreden</w:t>
      </w:r>
    </w:p>
    <w:p w14:paraId="2A20F384" w14:textId="4D68B16E" w:rsidR="00136845" w:rsidRPr="00136845" w:rsidRDefault="008165F5" w:rsidP="00751ACE">
      <w:pPr>
        <w:ind w:left="2124"/>
        <w:jc w:val="both"/>
        <w:rPr>
          <w:rFonts w:ascii="Open Sans" w:hAnsi="Open Sans" w:cs="Open Sans"/>
        </w:rPr>
      </w:pPr>
      <w:r w:rsidRPr="00751ACE">
        <w:rPr>
          <w:rFonts w:ascii="Open Sans" w:hAnsi="Open Sans" w:cs="Open Sans"/>
          <w:i/>
          <w:iCs/>
        </w:rPr>
        <w:t>Rechtshemmende Einreden</w:t>
      </w:r>
      <w:r>
        <w:rPr>
          <w:rFonts w:ascii="Open Sans" w:hAnsi="Open Sans" w:cs="Open Sans"/>
        </w:rPr>
        <w:t xml:space="preserve"> führen dazu, dass ein Anspruch zwar besteht, aber </w:t>
      </w:r>
      <w:r w:rsidRPr="00751ACE">
        <w:rPr>
          <w:rFonts w:ascii="Open Sans" w:hAnsi="Open Sans" w:cs="Open Sans"/>
        </w:rPr>
        <w:t>nicht durchsetzbar</w:t>
      </w:r>
      <w:r>
        <w:rPr>
          <w:rFonts w:ascii="Open Sans" w:hAnsi="Open Sans" w:cs="Open Sans"/>
        </w:rPr>
        <w:t xml:space="preserve"> ist.</w:t>
      </w:r>
      <w:r w:rsidR="00751ACE">
        <w:rPr>
          <w:rFonts w:ascii="Open Sans" w:hAnsi="Open Sans" w:cs="Open Sans"/>
        </w:rPr>
        <w:t xml:space="preserve"> Sie sind im Rahmen des Prüfungspunktes „Anspruch durchsetzbar“ zu thematisieren.</w:t>
      </w:r>
      <w:r>
        <w:rPr>
          <w:rFonts w:ascii="Open Sans" w:hAnsi="Open Sans" w:cs="Open Sans"/>
        </w:rPr>
        <w:t xml:space="preserve"> </w:t>
      </w:r>
      <w:r w:rsidR="00751ACE">
        <w:rPr>
          <w:rFonts w:ascii="Open Sans" w:hAnsi="Open Sans" w:cs="Open Sans"/>
        </w:rPr>
        <w:t>S</w:t>
      </w:r>
      <w:r>
        <w:rPr>
          <w:rFonts w:ascii="Open Sans" w:hAnsi="Open Sans" w:cs="Open Sans"/>
        </w:rPr>
        <w:t>ie werden gerade nicht von Amts wegen geprüft, wie dies bei rechtshindernden bzw. rechtsvernichtenden Einwendungen der Fall ist</w:t>
      </w:r>
      <w:r w:rsidR="00751ACE">
        <w:rPr>
          <w:rFonts w:ascii="Open Sans" w:hAnsi="Open Sans" w:cs="Open Sans"/>
        </w:rPr>
        <w:t>, vielmehr muss die jeweilige Partei sich darauf berufen. Klassische rechtshemmende Einreden sind: § 214 I; § 275 II, III; § 438 IV BGB.</w:t>
      </w:r>
    </w:p>
    <w:p w14:paraId="7D0740E8" w14:textId="4E536EE0" w:rsidR="00136845" w:rsidRDefault="00136845" w:rsidP="00136845">
      <w:pPr>
        <w:rPr>
          <w:rFonts w:ascii="Open Sans" w:hAnsi="Open Sans" w:cs="Open Sans"/>
        </w:rPr>
      </w:pPr>
    </w:p>
    <w:p w14:paraId="71D15D04" w14:textId="389E96B6" w:rsidR="003724A3" w:rsidRPr="003724A3" w:rsidRDefault="003724A3" w:rsidP="00136845">
      <w:pPr>
        <w:rPr>
          <w:rFonts w:ascii="Open Sans" w:hAnsi="Open Sans" w:cs="Open Sans"/>
        </w:rPr>
      </w:pPr>
      <w:r w:rsidRPr="003724A3">
        <w:rPr>
          <w:rFonts w:ascii="Open Sans" w:hAnsi="Open Sans" w:cs="Open Sans"/>
        </w:rPr>
        <w:t>Peremptorische Einreden</w:t>
      </w:r>
    </w:p>
    <w:p w14:paraId="5413425E" w14:textId="461C962F" w:rsidR="00136845" w:rsidRDefault="003724A3" w:rsidP="00D504CF">
      <w:pPr>
        <w:pStyle w:val="Listenabsatz"/>
        <w:ind w:left="2124"/>
        <w:jc w:val="both"/>
        <w:rPr>
          <w:rFonts w:ascii="Open Sans" w:hAnsi="Open Sans" w:cs="Open Sans"/>
        </w:rPr>
      </w:pPr>
      <w:r w:rsidRPr="003724A3">
        <w:rPr>
          <w:rFonts w:ascii="Open Sans" w:hAnsi="Open Sans" w:cs="Open Sans"/>
        </w:rPr>
        <w:t>Dauerhafte</w:t>
      </w:r>
      <w:r w:rsidRPr="005C7FEC">
        <w:rPr>
          <w:rFonts w:ascii="Open Sans" w:hAnsi="Open Sans" w:cs="Open Sans"/>
          <w:i/>
          <w:iCs/>
        </w:rPr>
        <w:t xml:space="preserve"> (peremptorische) Einreden</w:t>
      </w:r>
      <w:r>
        <w:rPr>
          <w:rFonts w:ascii="Open Sans" w:hAnsi="Open Sans" w:cs="Open Sans"/>
        </w:rPr>
        <w:t xml:space="preserve"> schließen die Durchsetzbarkeit eines Anspruchs auf Dauer aus</w:t>
      </w:r>
      <w:r w:rsidR="00F4789F">
        <w:rPr>
          <w:rFonts w:ascii="Open Sans" w:hAnsi="Open Sans" w:cs="Open Sans"/>
        </w:rPr>
        <w:t>, bspw. § 214 I BGB (Verjährung).</w:t>
      </w:r>
    </w:p>
    <w:p w14:paraId="5651EA70" w14:textId="77777777" w:rsidR="00F4789F" w:rsidRDefault="00F4789F" w:rsidP="003724A3">
      <w:pPr>
        <w:jc w:val="both"/>
        <w:rPr>
          <w:rFonts w:ascii="Open Sans" w:hAnsi="Open Sans" w:cs="Open Sans"/>
        </w:rPr>
      </w:pPr>
    </w:p>
    <w:p w14:paraId="5FE3A18D" w14:textId="7335141F" w:rsidR="003724A3" w:rsidRPr="003724A3" w:rsidRDefault="003724A3" w:rsidP="003724A3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Dilatorische Einreden</w:t>
      </w:r>
    </w:p>
    <w:p w14:paraId="70042AB7" w14:textId="0BAE5819" w:rsidR="003724A3" w:rsidRPr="005C7FEC" w:rsidRDefault="003724A3" w:rsidP="00D504CF">
      <w:pPr>
        <w:pStyle w:val="Listenabsatz"/>
        <w:ind w:left="2124"/>
        <w:jc w:val="both"/>
        <w:rPr>
          <w:rFonts w:ascii="Open Sans" w:hAnsi="Open Sans" w:cs="Open Sans"/>
        </w:rPr>
      </w:pPr>
      <w:r w:rsidRPr="003724A3">
        <w:rPr>
          <w:rFonts w:ascii="Open Sans" w:hAnsi="Open Sans" w:cs="Open Sans"/>
        </w:rPr>
        <w:t xml:space="preserve">Aufschiebende </w:t>
      </w:r>
      <w:r w:rsidRPr="005C7FEC">
        <w:rPr>
          <w:rFonts w:ascii="Open Sans" w:hAnsi="Open Sans" w:cs="Open Sans"/>
          <w:i/>
          <w:iCs/>
        </w:rPr>
        <w:t>(dilatorische) Einreden</w:t>
      </w:r>
      <w:r>
        <w:rPr>
          <w:rFonts w:ascii="Open Sans" w:hAnsi="Open Sans" w:cs="Open Sans"/>
        </w:rPr>
        <w:t xml:space="preserve"> schieben die Durchsetzbarkeit eines Anspruchs lediglich auf</w:t>
      </w:r>
      <w:r w:rsidR="00F4789F">
        <w:rPr>
          <w:rFonts w:ascii="Open Sans" w:hAnsi="Open Sans" w:cs="Open Sans"/>
        </w:rPr>
        <w:t>, bspw. § 273 I BGB (Zurückbehaltungsrecht).</w:t>
      </w:r>
    </w:p>
    <w:p w14:paraId="6C8ABDDD" w14:textId="24A066C1" w:rsidR="00136845" w:rsidRPr="00136845" w:rsidRDefault="00BF386D" w:rsidP="00A27345">
      <w:pPr>
        <w:tabs>
          <w:tab w:val="left" w:pos="1095"/>
          <w:tab w:val="left" w:pos="6960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 w:rsidR="00A27345">
        <w:rPr>
          <w:rFonts w:ascii="Open Sans" w:hAnsi="Open Sans" w:cs="Open Sans"/>
        </w:rPr>
        <w:tab/>
      </w:r>
    </w:p>
    <w:sectPr w:rsidR="00136845" w:rsidRPr="0013684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A45F0" w14:textId="77777777" w:rsidR="006F1955" w:rsidRDefault="006F1955" w:rsidP="0041069B">
      <w:pPr>
        <w:spacing w:after="0" w:line="240" w:lineRule="auto"/>
      </w:pPr>
      <w:r>
        <w:separator/>
      </w:r>
    </w:p>
  </w:endnote>
  <w:endnote w:type="continuationSeparator" w:id="0">
    <w:p w14:paraId="35AE4E42" w14:textId="77777777" w:rsidR="006F1955" w:rsidRDefault="006F1955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0" w:name="_Hlk64808829"/>
        <w:bookmarkStart w:id="1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654F014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B02FCFC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297BF3D3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113C5AAB" w:rsidR="00A60D0D" w:rsidRPr="00A27345" w:rsidRDefault="00000000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0"/>
    <w:bookmarkEnd w:id="1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705A" w14:textId="77777777" w:rsidR="006F1955" w:rsidRDefault="006F1955" w:rsidP="0041069B">
      <w:pPr>
        <w:spacing w:after="0" w:line="240" w:lineRule="auto"/>
      </w:pPr>
      <w:r>
        <w:separator/>
      </w:r>
    </w:p>
  </w:footnote>
  <w:footnote w:type="continuationSeparator" w:id="0">
    <w:p w14:paraId="11D76BB7" w14:textId="77777777" w:rsidR="006F1955" w:rsidRDefault="006F1955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0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3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7BE2575F"/>
    <w:multiLevelType w:val="hybridMultilevel"/>
    <w:tmpl w:val="A2A0793C"/>
    <w:lvl w:ilvl="0" w:tplc="00EA58F2">
      <w:start w:val="1"/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685600980">
    <w:abstractNumId w:val="19"/>
  </w:num>
  <w:num w:numId="2" w16cid:durableId="1378973784">
    <w:abstractNumId w:val="4"/>
  </w:num>
  <w:num w:numId="3" w16cid:durableId="1002512843">
    <w:abstractNumId w:val="6"/>
  </w:num>
  <w:num w:numId="4" w16cid:durableId="1591889600">
    <w:abstractNumId w:val="21"/>
  </w:num>
  <w:num w:numId="5" w16cid:durableId="310326086">
    <w:abstractNumId w:val="25"/>
  </w:num>
  <w:num w:numId="6" w16cid:durableId="1237665181">
    <w:abstractNumId w:val="13"/>
  </w:num>
  <w:num w:numId="7" w16cid:durableId="1883204597">
    <w:abstractNumId w:val="10"/>
  </w:num>
  <w:num w:numId="8" w16cid:durableId="397944074">
    <w:abstractNumId w:val="16"/>
  </w:num>
  <w:num w:numId="9" w16cid:durableId="1055202845">
    <w:abstractNumId w:val="20"/>
  </w:num>
  <w:num w:numId="10" w16cid:durableId="2023774170">
    <w:abstractNumId w:val="11"/>
  </w:num>
  <w:num w:numId="11" w16cid:durableId="1585603656">
    <w:abstractNumId w:val="23"/>
  </w:num>
  <w:num w:numId="12" w16cid:durableId="1138374671">
    <w:abstractNumId w:val="12"/>
  </w:num>
  <w:num w:numId="13" w16cid:durableId="1455559965">
    <w:abstractNumId w:val="22"/>
  </w:num>
  <w:num w:numId="14" w16cid:durableId="1021585547">
    <w:abstractNumId w:val="17"/>
  </w:num>
  <w:num w:numId="15" w16cid:durableId="1713798446">
    <w:abstractNumId w:val="9"/>
  </w:num>
  <w:num w:numId="16" w16cid:durableId="1736584913">
    <w:abstractNumId w:val="0"/>
  </w:num>
  <w:num w:numId="17" w16cid:durableId="1464424459">
    <w:abstractNumId w:val="14"/>
  </w:num>
  <w:num w:numId="18" w16cid:durableId="1710256888">
    <w:abstractNumId w:val="2"/>
  </w:num>
  <w:num w:numId="19" w16cid:durableId="845366850">
    <w:abstractNumId w:val="15"/>
  </w:num>
  <w:num w:numId="20" w16cid:durableId="1291471667">
    <w:abstractNumId w:val="3"/>
  </w:num>
  <w:num w:numId="21" w16cid:durableId="620961298">
    <w:abstractNumId w:val="8"/>
  </w:num>
  <w:num w:numId="22" w16cid:durableId="224414828">
    <w:abstractNumId w:val="1"/>
  </w:num>
  <w:num w:numId="23" w16cid:durableId="1241017206">
    <w:abstractNumId w:val="7"/>
  </w:num>
  <w:num w:numId="24" w16cid:durableId="1778866450">
    <w:abstractNumId w:val="18"/>
  </w:num>
  <w:num w:numId="25" w16cid:durableId="92438345">
    <w:abstractNumId w:val="5"/>
  </w:num>
  <w:num w:numId="26" w16cid:durableId="12620288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10748A"/>
    <w:rsid w:val="00123860"/>
    <w:rsid w:val="00136845"/>
    <w:rsid w:val="001510AE"/>
    <w:rsid w:val="0017497A"/>
    <w:rsid w:val="00185932"/>
    <w:rsid w:val="00192777"/>
    <w:rsid w:val="0021331B"/>
    <w:rsid w:val="002230EF"/>
    <w:rsid w:val="00241692"/>
    <w:rsid w:val="002577DC"/>
    <w:rsid w:val="00257A0B"/>
    <w:rsid w:val="00267B33"/>
    <w:rsid w:val="002877FF"/>
    <w:rsid w:val="00295E1E"/>
    <w:rsid w:val="003724A3"/>
    <w:rsid w:val="003D5108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A1B6D"/>
    <w:rsid w:val="005A556D"/>
    <w:rsid w:val="005E2DC1"/>
    <w:rsid w:val="005F668B"/>
    <w:rsid w:val="006178E1"/>
    <w:rsid w:val="006242E8"/>
    <w:rsid w:val="00685E8F"/>
    <w:rsid w:val="00693D80"/>
    <w:rsid w:val="006B7D18"/>
    <w:rsid w:val="006D77EF"/>
    <w:rsid w:val="006E1970"/>
    <w:rsid w:val="006F1955"/>
    <w:rsid w:val="00715314"/>
    <w:rsid w:val="00722F4A"/>
    <w:rsid w:val="00744F0C"/>
    <w:rsid w:val="00751ACE"/>
    <w:rsid w:val="00756EF3"/>
    <w:rsid w:val="00763B80"/>
    <w:rsid w:val="0077736A"/>
    <w:rsid w:val="007C4C5F"/>
    <w:rsid w:val="007D1C6B"/>
    <w:rsid w:val="007D788D"/>
    <w:rsid w:val="007F54BD"/>
    <w:rsid w:val="008165F5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934066"/>
    <w:rsid w:val="009A223F"/>
    <w:rsid w:val="009A7135"/>
    <w:rsid w:val="009B5901"/>
    <w:rsid w:val="00A07F0F"/>
    <w:rsid w:val="00A27345"/>
    <w:rsid w:val="00A60D0D"/>
    <w:rsid w:val="00A6156E"/>
    <w:rsid w:val="00A84793"/>
    <w:rsid w:val="00AE748B"/>
    <w:rsid w:val="00B20871"/>
    <w:rsid w:val="00B319F6"/>
    <w:rsid w:val="00B65D0D"/>
    <w:rsid w:val="00B7208C"/>
    <w:rsid w:val="00B913B7"/>
    <w:rsid w:val="00BB2365"/>
    <w:rsid w:val="00BE13DA"/>
    <w:rsid w:val="00BF386D"/>
    <w:rsid w:val="00C2164B"/>
    <w:rsid w:val="00C35596"/>
    <w:rsid w:val="00CF47F5"/>
    <w:rsid w:val="00D01277"/>
    <w:rsid w:val="00D15FA7"/>
    <w:rsid w:val="00D504CF"/>
    <w:rsid w:val="00D7007F"/>
    <w:rsid w:val="00D7592C"/>
    <w:rsid w:val="00D76651"/>
    <w:rsid w:val="00DD34DC"/>
    <w:rsid w:val="00DE7393"/>
    <w:rsid w:val="00E00DCA"/>
    <w:rsid w:val="00E235DB"/>
    <w:rsid w:val="00E31E5E"/>
    <w:rsid w:val="00E471C9"/>
    <w:rsid w:val="00E715C3"/>
    <w:rsid w:val="00E950D0"/>
    <w:rsid w:val="00EA4BF1"/>
    <w:rsid w:val="00EE5B5C"/>
    <w:rsid w:val="00EF11AF"/>
    <w:rsid w:val="00F41C05"/>
    <w:rsid w:val="00F4789F"/>
    <w:rsid w:val="00F51C25"/>
    <w:rsid w:val="00F90F16"/>
    <w:rsid w:val="00FC5795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2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6</cp:revision>
  <cp:lastPrinted>2022-02-19T09:00:00Z</cp:lastPrinted>
  <dcterms:created xsi:type="dcterms:W3CDTF">2022-05-20T08:06:00Z</dcterms:created>
  <dcterms:modified xsi:type="dcterms:W3CDTF">2022-11-10T15:28:00Z</dcterms:modified>
</cp:coreProperties>
</file>