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B4E9" w14:textId="7D6F6B28" w:rsidR="00715314" w:rsidRPr="00517716" w:rsidRDefault="00522089" w:rsidP="00715314">
      <w:pPr>
        <w:jc w:val="both"/>
        <w:rPr>
          <w:rFonts w:ascii="Open Sans" w:hAnsi="Open Sans" w:cs="Open Sans"/>
          <w:b/>
          <w:bCs/>
          <w:sz w:val="36"/>
          <w:szCs w:val="36"/>
        </w:rPr>
      </w:pPr>
      <w:bookmarkStart w:id="0" w:name="header"/>
      <w:r>
        <w:rPr>
          <w:rFonts w:ascii="Open Sans" w:hAnsi="Open Sans" w:cs="Open Sans"/>
          <w:b/>
          <w:bCs/>
          <w:sz w:val="36"/>
          <w:szCs w:val="36"/>
        </w:rPr>
        <w:t>Grundbegriffe BGB</w:t>
      </w:r>
    </w:p>
    <w:bookmarkEnd w:id="0"/>
    <w:p w14:paraId="4538D0C1" w14:textId="77777777" w:rsidR="005A1B6D" w:rsidRDefault="005A1B6D" w:rsidP="005A1B6D">
      <w:pPr>
        <w:pStyle w:val="SchemaDefinitionenHeader"/>
      </w:pPr>
      <w:r>
        <w:t>Definitionen</w:t>
      </w:r>
    </w:p>
    <w:p w14:paraId="5450EE78" w14:textId="77777777" w:rsidR="00A7211A" w:rsidRDefault="00A7211A" w:rsidP="005A1B6D">
      <w:pPr>
        <w:pStyle w:val="SchemaDefinitionenHeader"/>
        <w:rPr>
          <w:color w:val="auto"/>
        </w:rPr>
      </w:pPr>
    </w:p>
    <w:p w14:paraId="68D2E2A9" w14:textId="77777777" w:rsidR="00A7211A" w:rsidRDefault="00A7211A" w:rsidP="00A7211A">
      <w:pPr>
        <w:pStyle w:val="SchemaDefinitionenHeader"/>
        <w:rPr>
          <w:color w:val="auto"/>
        </w:rPr>
      </w:pPr>
      <w:r>
        <w:rPr>
          <w:color w:val="auto"/>
        </w:rPr>
        <w:t>Privatautonomie</w:t>
      </w:r>
    </w:p>
    <w:p w14:paraId="7D4E6640" w14:textId="03A2614B" w:rsidR="00A7211A" w:rsidRDefault="001549F9" w:rsidP="00A7211A">
      <w:pPr>
        <w:ind w:left="2124"/>
        <w:jc w:val="both"/>
        <w:rPr>
          <w:rFonts w:ascii="Open Sans" w:hAnsi="Open Sans" w:cs="Open Sans"/>
          <w:bCs/>
        </w:rPr>
      </w:pPr>
      <w:r>
        <w:rPr>
          <w:rFonts w:ascii="Open Sans" w:hAnsi="Open Sans" w:cs="Open Sans"/>
          <w:bCs/>
        </w:rPr>
        <w:t xml:space="preserve">Unter </w:t>
      </w:r>
      <w:r w:rsidRPr="001549F9">
        <w:rPr>
          <w:rFonts w:ascii="Open Sans" w:hAnsi="Open Sans" w:cs="Open Sans"/>
          <w:bCs/>
          <w:i/>
        </w:rPr>
        <w:t>Privatautonomie</w:t>
      </w:r>
      <w:r>
        <w:rPr>
          <w:rFonts w:ascii="Open Sans" w:hAnsi="Open Sans" w:cs="Open Sans"/>
          <w:bCs/>
        </w:rPr>
        <w:t xml:space="preserve"> versteht man d</w:t>
      </w:r>
      <w:r w:rsidR="00A7211A">
        <w:rPr>
          <w:rFonts w:ascii="Open Sans" w:hAnsi="Open Sans" w:cs="Open Sans"/>
          <w:bCs/>
        </w:rPr>
        <w:t>as Recht, seine privaten Rechtsverhältnisse im Rahmen der Rechtsordnung frei zu gestalten. Der Einzelne wird berechtigt Rechte und Pflichten zu begründen, zu ändern oder aufzuheben.</w:t>
      </w:r>
    </w:p>
    <w:p w14:paraId="35687686" w14:textId="2A8505B8" w:rsidR="00A7211A" w:rsidRPr="00A7211A" w:rsidRDefault="00A7211A" w:rsidP="00A7211A">
      <w:pPr>
        <w:ind w:left="2124"/>
        <w:jc w:val="both"/>
        <w:rPr>
          <w:rFonts w:ascii="Open Sans" w:hAnsi="Open Sans" w:cs="Open Sans"/>
          <w:bCs/>
        </w:rPr>
      </w:pPr>
      <w:r>
        <w:rPr>
          <w:rFonts w:ascii="Open Sans" w:hAnsi="Open Sans" w:cs="Open Sans"/>
          <w:bCs/>
        </w:rPr>
        <w:t xml:space="preserve">Die </w:t>
      </w:r>
      <w:r w:rsidRPr="001549F9">
        <w:rPr>
          <w:rFonts w:ascii="Open Sans" w:hAnsi="Open Sans" w:cs="Open Sans"/>
          <w:bCs/>
        </w:rPr>
        <w:t>Privatautonomie</w:t>
      </w:r>
      <w:r>
        <w:rPr>
          <w:rFonts w:ascii="Open Sans" w:hAnsi="Open Sans" w:cs="Open Sans"/>
          <w:bCs/>
          <w:i/>
        </w:rPr>
        <w:t xml:space="preserve"> </w:t>
      </w:r>
      <w:r>
        <w:rPr>
          <w:rFonts w:ascii="Open Sans" w:hAnsi="Open Sans" w:cs="Open Sans"/>
          <w:bCs/>
        </w:rPr>
        <w:t>wurzelt auf</w:t>
      </w:r>
      <w:r>
        <w:rPr>
          <w:rFonts w:ascii="Open Sans" w:hAnsi="Open Sans" w:cs="Open Sans"/>
          <w:bCs/>
          <w:i/>
        </w:rPr>
        <w:t xml:space="preserve"> </w:t>
      </w:r>
      <w:r>
        <w:rPr>
          <w:rFonts w:ascii="Open Sans" w:hAnsi="Open Sans" w:cs="Open Sans"/>
          <w:bCs/>
        </w:rPr>
        <w:t xml:space="preserve">der Allgemeinen Handlungsfreiheit nach Art. 2 I GG und der Selbstbestimmung des Menschen nach </w:t>
      </w:r>
      <w:r>
        <w:rPr>
          <w:rFonts w:ascii="Open Sans" w:hAnsi="Open Sans" w:cs="Open Sans"/>
          <w:bCs/>
        </w:rPr>
        <w:br/>
        <w:t>Art. 1 GG. Im Zivilrecht kommt sie durch die Vertragsfreiheit, die Eigentumsfreiheit, Eheschließungsfreiheit, Testierfreiheit, Vereinigungsfreiheit zum Tragen.</w:t>
      </w:r>
    </w:p>
    <w:p w14:paraId="6E3B0244" w14:textId="4C3933B8" w:rsidR="00A7211A" w:rsidRDefault="00A7211A" w:rsidP="005A1B6D">
      <w:pPr>
        <w:pStyle w:val="SchemaDefinitionenHeader"/>
        <w:rPr>
          <w:color w:val="auto"/>
        </w:rPr>
      </w:pPr>
    </w:p>
    <w:p w14:paraId="4981E572" w14:textId="3E68BDCD" w:rsidR="00A7211A" w:rsidRDefault="00A7211A" w:rsidP="005A1B6D">
      <w:pPr>
        <w:pStyle w:val="SchemaDefinitionenHeader"/>
        <w:rPr>
          <w:color w:val="auto"/>
        </w:rPr>
      </w:pPr>
      <w:r>
        <w:rPr>
          <w:color w:val="auto"/>
        </w:rPr>
        <w:t>Willenserklärung</w:t>
      </w:r>
    </w:p>
    <w:p w14:paraId="53464234" w14:textId="4A1C38C5" w:rsidR="00A7211A" w:rsidRDefault="00A7211A" w:rsidP="00A7211A">
      <w:pPr>
        <w:pStyle w:val="SchemaDefinitionenHeader"/>
        <w:ind w:left="2124" w:firstLine="6"/>
        <w:rPr>
          <w:color w:val="auto"/>
        </w:rPr>
      </w:pPr>
      <w:r>
        <w:rPr>
          <w:color w:val="auto"/>
        </w:rPr>
        <w:t xml:space="preserve">Eine </w:t>
      </w:r>
      <w:r>
        <w:rPr>
          <w:i/>
          <w:color w:val="auto"/>
        </w:rPr>
        <w:t xml:space="preserve">Willenserklärung </w:t>
      </w:r>
      <w:r>
        <w:rPr>
          <w:color w:val="auto"/>
        </w:rPr>
        <w:t>ist eine Erklärung</w:t>
      </w:r>
      <w:r w:rsidR="00E937D4">
        <w:rPr>
          <w:color w:val="auto"/>
        </w:rPr>
        <w:t xml:space="preserve"> (!)</w:t>
      </w:r>
      <w:r>
        <w:rPr>
          <w:color w:val="auto"/>
        </w:rPr>
        <w:t xml:space="preserve"> des Willens </w:t>
      </w:r>
      <w:r w:rsidR="00E937D4">
        <w:rPr>
          <w:color w:val="auto"/>
        </w:rPr>
        <w:t xml:space="preserve">(!), </w:t>
      </w:r>
      <w:r>
        <w:rPr>
          <w:color w:val="auto"/>
        </w:rPr>
        <w:t>welche auf die Herbeiführung einer gewollten Rechtsfolge gerichtet ist.</w:t>
      </w:r>
      <w:r w:rsidR="00CF6B64">
        <w:rPr>
          <w:color w:val="auto"/>
        </w:rPr>
        <w:t xml:space="preserve"> Sie besteht aus objektivem und subjektivem Tatbestand.</w:t>
      </w:r>
      <w:r>
        <w:rPr>
          <w:color w:val="auto"/>
        </w:rPr>
        <w:tab/>
      </w:r>
      <w:r>
        <w:rPr>
          <w:color w:val="auto"/>
        </w:rPr>
        <w:tab/>
      </w:r>
    </w:p>
    <w:p w14:paraId="46F15DC6" w14:textId="70D11993" w:rsidR="00CF6B64" w:rsidRDefault="00CF6B64" w:rsidP="005A1B6D">
      <w:pPr>
        <w:pStyle w:val="SchemaDefinitionenHeader"/>
        <w:rPr>
          <w:color w:val="auto"/>
        </w:rPr>
      </w:pPr>
    </w:p>
    <w:p w14:paraId="0F23D894" w14:textId="6CB4B3CA" w:rsidR="00C16BD3" w:rsidRDefault="00CF6B64" w:rsidP="005A1B6D">
      <w:pPr>
        <w:pStyle w:val="SchemaDefinitionenHeader"/>
        <w:rPr>
          <w:color w:val="auto"/>
        </w:rPr>
      </w:pPr>
      <w:r>
        <w:rPr>
          <w:color w:val="auto"/>
        </w:rPr>
        <w:t>Objektiver (äußerer) Tatbestand einer Willenserklärung</w:t>
      </w:r>
    </w:p>
    <w:p w14:paraId="6B6231C2" w14:textId="7EDAAA90" w:rsidR="00C16BD3" w:rsidRDefault="00C16BD3" w:rsidP="00C16BD3">
      <w:pPr>
        <w:pStyle w:val="SchemaDefinitionenHeader"/>
        <w:ind w:left="2124" w:firstLine="6"/>
        <w:rPr>
          <w:color w:val="auto"/>
        </w:rPr>
      </w:pPr>
      <w:r>
        <w:rPr>
          <w:color w:val="auto"/>
        </w:rPr>
        <w:t xml:space="preserve">Der </w:t>
      </w:r>
      <w:r w:rsidRPr="006A58EF">
        <w:rPr>
          <w:i/>
          <w:iCs/>
          <w:color w:val="auto"/>
        </w:rPr>
        <w:t>objektive Tatbestand einer Willenserklärung</w:t>
      </w:r>
      <w:r>
        <w:rPr>
          <w:color w:val="auto"/>
        </w:rPr>
        <w:t xml:space="preserve"> (Erklärungstatbestand) setzt ein äußerlich erkennbares Verhalten voraus, das ausdrücklich oder </w:t>
      </w:r>
      <w:r w:rsidR="002A5347">
        <w:rPr>
          <w:color w:val="auto"/>
        </w:rPr>
        <w:t>konkludent</w:t>
      </w:r>
      <w:r>
        <w:rPr>
          <w:color w:val="auto"/>
        </w:rPr>
        <w:t xml:space="preserve"> auf einen dahinterstehenden </w:t>
      </w:r>
      <w:r w:rsidR="00E937D4">
        <w:rPr>
          <w:color w:val="auto"/>
        </w:rPr>
        <w:t>konkreten Geschäftswillen</w:t>
      </w:r>
      <w:r>
        <w:rPr>
          <w:color w:val="auto"/>
        </w:rPr>
        <w:t xml:space="preserve"> (Rechtsbindungswillen) schließen lässt. </w:t>
      </w:r>
      <w:r w:rsidR="002A5347">
        <w:rPr>
          <w:color w:val="auto"/>
        </w:rPr>
        <w:t>In Ausnahmefällen erfüllt selbst ein Schweigen den objektiven Tatbestand einer Willenserklärung (z.B. Schweigen auf ein kaufmännisches Bestätigungsschreiben).</w:t>
      </w:r>
    </w:p>
    <w:p w14:paraId="3487D113" w14:textId="77777777" w:rsidR="00CF6B64" w:rsidRDefault="00CF6B64" w:rsidP="005A1B6D">
      <w:pPr>
        <w:pStyle w:val="SchemaDefinitionenHeader"/>
        <w:rPr>
          <w:color w:val="auto"/>
        </w:rPr>
      </w:pPr>
    </w:p>
    <w:p w14:paraId="24B73C87" w14:textId="2F8162C6" w:rsidR="00CF6B64" w:rsidRDefault="00CF6B64" w:rsidP="005A1B6D">
      <w:pPr>
        <w:pStyle w:val="SchemaDefinitionenHeader"/>
        <w:rPr>
          <w:color w:val="auto"/>
        </w:rPr>
      </w:pPr>
      <w:r w:rsidRPr="00EB3244">
        <w:rPr>
          <w:color w:val="auto"/>
        </w:rPr>
        <w:t>Subjektiver (innerer) Tatbestand einer Willenserklärung</w:t>
      </w:r>
    </w:p>
    <w:p w14:paraId="2CB28B37" w14:textId="01799BBA" w:rsidR="00A7211A" w:rsidRDefault="002C5086" w:rsidP="002C5086">
      <w:pPr>
        <w:pStyle w:val="SchemaDefinitionenHeader"/>
        <w:ind w:left="2124" w:firstLine="6"/>
        <w:rPr>
          <w:color w:val="auto"/>
        </w:rPr>
      </w:pPr>
      <w:r>
        <w:rPr>
          <w:color w:val="auto"/>
        </w:rPr>
        <w:t xml:space="preserve">Der </w:t>
      </w:r>
      <w:r w:rsidRPr="00EB3244">
        <w:rPr>
          <w:i/>
          <w:iCs/>
          <w:color w:val="auto"/>
        </w:rPr>
        <w:t>subjektive Tatbestand einer Willenserklärung</w:t>
      </w:r>
      <w:r>
        <w:rPr>
          <w:color w:val="auto"/>
        </w:rPr>
        <w:t xml:space="preserve"> besteht aus drei Elementen, nämlich dem Handlungswillen, dem Erklärungsbewusstsein und dem Geschäftswillen.</w:t>
      </w:r>
    </w:p>
    <w:p w14:paraId="3157D981" w14:textId="574D8396" w:rsidR="002C5086" w:rsidRDefault="002C5086" w:rsidP="00EB3244">
      <w:pPr>
        <w:pStyle w:val="SchemaDefinitionenHeader"/>
        <w:rPr>
          <w:color w:val="auto"/>
        </w:rPr>
      </w:pPr>
    </w:p>
    <w:p w14:paraId="354D92B1" w14:textId="77777777" w:rsidR="00DA4AEE" w:rsidRDefault="00DA4AEE">
      <w:pPr>
        <w:rPr>
          <w:rFonts w:ascii="Open Sans" w:hAnsi="Open Sans" w:cs="Open Sans"/>
        </w:rPr>
      </w:pPr>
      <w:r>
        <w:br w:type="page"/>
      </w:r>
    </w:p>
    <w:p w14:paraId="39897B93" w14:textId="0E859263" w:rsidR="00DA4AEE" w:rsidRDefault="00DA4AEE" w:rsidP="00DA4AEE">
      <w:pPr>
        <w:pStyle w:val="SchemaDefinitionenHeader"/>
        <w:rPr>
          <w:color w:val="auto"/>
        </w:rPr>
      </w:pPr>
      <w:r>
        <w:rPr>
          <w:color w:val="auto"/>
        </w:rPr>
        <w:lastRenderedPageBreak/>
        <w:t>Konkludente Willenserklärung</w:t>
      </w:r>
    </w:p>
    <w:p w14:paraId="6A569269" w14:textId="77777777" w:rsidR="00DA4AEE" w:rsidRDefault="00DA4AEE" w:rsidP="00DA4AEE">
      <w:pPr>
        <w:pStyle w:val="SchemaDefinitionenHeader"/>
        <w:ind w:left="2124" w:firstLine="6"/>
        <w:rPr>
          <w:color w:val="auto"/>
        </w:rPr>
      </w:pPr>
      <w:r>
        <w:rPr>
          <w:color w:val="auto"/>
        </w:rPr>
        <w:t xml:space="preserve">Bei der </w:t>
      </w:r>
      <w:r w:rsidRPr="006A58EF">
        <w:rPr>
          <w:i/>
          <w:iCs/>
          <w:color w:val="auto"/>
        </w:rPr>
        <w:t>konkludenten Willenserklärung</w:t>
      </w:r>
      <w:r>
        <w:rPr>
          <w:color w:val="auto"/>
        </w:rPr>
        <w:t xml:space="preserve"> handelt es sich gerade nicht um eine ausdrückliche Erklärung, sondern um eine „Erklärung durch schlüssiges Verhalten“. </w:t>
      </w:r>
    </w:p>
    <w:p w14:paraId="163BC873" w14:textId="77777777" w:rsidR="00DA4AEE" w:rsidRDefault="00DA4AEE" w:rsidP="00DA4AEE">
      <w:pPr>
        <w:pStyle w:val="SchemaDefinitionenHeader"/>
        <w:ind w:left="2124" w:firstLine="6"/>
        <w:rPr>
          <w:color w:val="auto"/>
        </w:rPr>
      </w:pPr>
      <w:r w:rsidRPr="00DA4AEE">
        <w:rPr>
          <w:i/>
          <w:iCs/>
          <w:color w:val="auto"/>
        </w:rPr>
        <w:t>Bsp.:</w:t>
      </w:r>
      <w:r>
        <w:rPr>
          <w:color w:val="auto"/>
        </w:rPr>
        <w:t xml:space="preserve"> Kopfnicken beim Kauf von Brötchen oder Einsteigen in einen Bus.</w:t>
      </w:r>
    </w:p>
    <w:p w14:paraId="53BDF5BF" w14:textId="77777777" w:rsidR="00DA4AEE" w:rsidRDefault="00DA4AEE" w:rsidP="00EB3244">
      <w:pPr>
        <w:pStyle w:val="SchemaDefinitionenHeader"/>
        <w:rPr>
          <w:color w:val="auto"/>
        </w:rPr>
      </w:pPr>
    </w:p>
    <w:p w14:paraId="79934EE5" w14:textId="2D736F95" w:rsidR="00EB3244" w:rsidRDefault="00EB3244" w:rsidP="00EB3244">
      <w:pPr>
        <w:pStyle w:val="SchemaDefinitionenHeader"/>
        <w:rPr>
          <w:color w:val="auto"/>
        </w:rPr>
      </w:pPr>
      <w:r>
        <w:rPr>
          <w:color w:val="auto"/>
        </w:rPr>
        <w:t>Handlungswillen</w:t>
      </w:r>
    </w:p>
    <w:p w14:paraId="092E0803" w14:textId="077B37D7" w:rsidR="006E310E" w:rsidRDefault="00EB3244" w:rsidP="00EB3244">
      <w:pPr>
        <w:pStyle w:val="SchemaDefinitionenHeader"/>
        <w:ind w:left="2124" w:firstLine="6"/>
        <w:rPr>
          <w:color w:val="auto"/>
        </w:rPr>
      </w:pPr>
      <w:r>
        <w:rPr>
          <w:color w:val="auto"/>
        </w:rPr>
        <w:t xml:space="preserve">Der </w:t>
      </w:r>
      <w:r w:rsidRPr="00EB3244">
        <w:rPr>
          <w:i/>
          <w:iCs/>
          <w:color w:val="auto"/>
        </w:rPr>
        <w:t xml:space="preserve">Handlungswille </w:t>
      </w:r>
      <w:r>
        <w:rPr>
          <w:color w:val="auto"/>
        </w:rPr>
        <w:t>als Teil des subjektiven Tatbestandes einer Willenserklärung</w:t>
      </w:r>
      <w:r w:rsidR="001549F9">
        <w:rPr>
          <w:color w:val="auto"/>
        </w:rPr>
        <w:t>,</w:t>
      </w:r>
      <w:r>
        <w:rPr>
          <w:color w:val="auto"/>
        </w:rPr>
        <w:t xml:space="preserve"> ist der Wille eine Handlung auch tatsächlich vornehmen zu wollen. </w:t>
      </w:r>
    </w:p>
    <w:p w14:paraId="408C81F1" w14:textId="055E2E97" w:rsidR="00EB3244" w:rsidRDefault="00EB3244" w:rsidP="00EB3244">
      <w:pPr>
        <w:pStyle w:val="SchemaDefinitionenHeader"/>
        <w:ind w:left="2124" w:firstLine="6"/>
        <w:rPr>
          <w:color w:val="auto"/>
        </w:rPr>
      </w:pPr>
      <w:r>
        <w:rPr>
          <w:color w:val="auto"/>
        </w:rPr>
        <w:t>Dies scheidet bei Reflexen oder Drohungen (nicht willensgesteuertes Verhalten) aus. Fehlt der Handlungswille, so muss das Vorliegen einer Willenserklärung abgelehnt werden.</w:t>
      </w:r>
    </w:p>
    <w:p w14:paraId="135EA168" w14:textId="77777777" w:rsidR="00EB3244" w:rsidRDefault="00EB3244" w:rsidP="00EB3244">
      <w:pPr>
        <w:pStyle w:val="SchemaDefinitionenHeader"/>
        <w:ind w:left="2124" w:firstLine="6"/>
        <w:rPr>
          <w:color w:val="auto"/>
        </w:rPr>
      </w:pPr>
    </w:p>
    <w:p w14:paraId="650677D2" w14:textId="5F94F1A9" w:rsidR="00EB3244" w:rsidRDefault="00EB3244" w:rsidP="00EB3244">
      <w:pPr>
        <w:pStyle w:val="SchemaDefinitionenHeader"/>
        <w:rPr>
          <w:color w:val="auto"/>
        </w:rPr>
      </w:pPr>
      <w:r>
        <w:rPr>
          <w:color w:val="auto"/>
        </w:rPr>
        <w:t>Erklärungsbewusstsein</w:t>
      </w:r>
    </w:p>
    <w:p w14:paraId="15A5669C" w14:textId="22F8C39A" w:rsidR="006E310E" w:rsidRDefault="00EB3244" w:rsidP="00EB3244">
      <w:pPr>
        <w:pStyle w:val="SchemaDefinitionenHeader"/>
        <w:ind w:left="2124" w:firstLine="6"/>
        <w:rPr>
          <w:color w:val="auto"/>
        </w:rPr>
      </w:pPr>
      <w:r>
        <w:rPr>
          <w:color w:val="auto"/>
        </w:rPr>
        <w:t xml:space="preserve">Das </w:t>
      </w:r>
      <w:r w:rsidRPr="00EB3244">
        <w:rPr>
          <w:i/>
          <w:iCs/>
          <w:color w:val="auto"/>
        </w:rPr>
        <w:t>Erklärungsbewusstsein</w:t>
      </w:r>
      <w:r>
        <w:rPr>
          <w:color w:val="auto"/>
        </w:rPr>
        <w:t xml:space="preserve"> als Teil des subjektiven Tatbestandes einer Willenserklärung</w:t>
      </w:r>
      <w:r w:rsidR="001549F9">
        <w:rPr>
          <w:color w:val="auto"/>
        </w:rPr>
        <w:t>,</w:t>
      </w:r>
      <w:r>
        <w:rPr>
          <w:color w:val="auto"/>
        </w:rPr>
        <w:t xml:space="preserve"> ist der Wille eine rechtsverbindliche (!) Handlung </w:t>
      </w:r>
      <w:r w:rsidR="001549F9">
        <w:rPr>
          <w:color w:val="auto"/>
        </w:rPr>
        <w:t>vorzunehmen</w:t>
      </w:r>
      <w:r>
        <w:rPr>
          <w:color w:val="auto"/>
        </w:rPr>
        <w:t xml:space="preserve">. </w:t>
      </w:r>
    </w:p>
    <w:p w14:paraId="7007B702" w14:textId="658BD1C0" w:rsidR="00EB3244" w:rsidRDefault="00EB3244" w:rsidP="00EB3244">
      <w:pPr>
        <w:pStyle w:val="SchemaDefinitionenHeader"/>
        <w:ind w:left="2124" w:firstLine="6"/>
        <w:rPr>
          <w:color w:val="auto"/>
        </w:rPr>
      </w:pPr>
      <w:r>
        <w:rPr>
          <w:color w:val="auto"/>
        </w:rPr>
        <w:t>Dies</w:t>
      </w:r>
      <w:r w:rsidR="001549F9">
        <w:rPr>
          <w:color w:val="auto"/>
        </w:rPr>
        <w:t>es</w:t>
      </w:r>
      <w:r>
        <w:rPr>
          <w:color w:val="auto"/>
        </w:rPr>
        <w:t xml:space="preserve"> scheidet bspw. aus, wenn eine Person auf einer Auktion seine Hand lediglich zur Begrüßung eines Freundes hebt. Eine Willenserklärung liegt vor, ist aber nach § 119 I BGB analog anfechtbar.</w:t>
      </w:r>
    </w:p>
    <w:p w14:paraId="2557CA6F" w14:textId="77777777" w:rsidR="00EB3244" w:rsidRDefault="00EB3244" w:rsidP="00EB3244">
      <w:pPr>
        <w:pStyle w:val="SchemaDefinitionenHeader"/>
        <w:ind w:left="2124" w:firstLine="6"/>
        <w:rPr>
          <w:color w:val="auto"/>
        </w:rPr>
      </w:pPr>
    </w:p>
    <w:p w14:paraId="47D6475F" w14:textId="0B3539DB" w:rsidR="00EB3244" w:rsidRDefault="00EB3244" w:rsidP="00EB3244">
      <w:pPr>
        <w:pStyle w:val="SchemaDefinitionenHeader"/>
        <w:rPr>
          <w:color w:val="auto"/>
        </w:rPr>
      </w:pPr>
      <w:r>
        <w:rPr>
          <w:color w:val="auto"/>
        </w:rPr>
        <w:t>Geschäftswille</w:t>
      </w:r>
    </w:p>
    <w:p w14:paraId="13F93C36" w14:textId="508F1FA9" w:rsidR="00EB3244" w:rsidRDefault="00EB3244" w:rsidP="001549F9">
      <w:pPr>
        <w:pStyle w:val="SchemaDefinitionenHeader"/>
        <w:ind w:left="2124" w:firstLine="6"/>
        <w:rPr>
          <w:color w:val="auto"/>
        </w:rPr>
      </w:pPr>
      <w:r>
        <w:rPr>
          <w:color w:val="auto"/>
        </w:rPr>
        <w:t xml:space="preserve">Der </w:t>
      </w:r>
      <w:r w:rsidRPr="00A11567">
        <w:rPr>
          <w:i/>
          <w:iCs/>
          <w:color w:val="auto"/>
        </w:rPr>
        <w:t>Geschäftswille</w:t>
      </w:r>
      <w:r>
        <w:rPr>
          <w:color w:val="auto"/>
        </w:rPr>
        <w:t xml:space="preserve"> als Teil des subjektiven Tatbestandes einer Willenserklärung</w:t>
      </w:r>
      <w:r w:rsidR="001549F9">
        <w:rPr>
          <w:color w:val="auto"/>
        </w:rPr>
        <w:t>,</w:t>
      </w:r>
      <w:r>
        <w:rPr>
          <w:color w:val="auto"/>
        </w:rPr>
        <w:t xml:space="preserve"> </w:t>
      </w:r>
      <w:r w:rsidR="00A11567">
        <w:rPr>
          <w:color w:val="auto"/>
        </w:rPr>
        <w:t>ist der Wille mit der konkreten rechtsverbindlichen Handlung eine konkrete rechtsverbindliche Rechtsfolge herbeizuführen.</w:t>
      </w:r>
      <w:r w:rsidR="001549F9">
        <w:rPr>
          <w:color w:val="auto"/>
        </w:rPr>
        <w:t xml:space="preserve"> </w:t>
      </w:r>
      <w:r w:rsidR="00A11567">
        <w:rPr>
          <w:color w:val="auto"/>
        </w:rPr>
        <w:t>Fehlt der Geschäftswille, so liegt eine Willenserklärung dennoch vor, welche aber zur Anfechtung nach</w:t>
      </w:r>
      <w:r w:rsidR="001549F9">
        <w:rPr>
          <w:color w:val="auto"/>
        </w:rPr>
        <w:br/>
      </w:r>
      <w:r w:rsidR="00A11567">
        <w:rPr>
          <w:color w:val="auto"/>
        </w:rPr>
        <w:t>§§ 119 ff</w:t>
      </w:r>
      <w:r w:rsidR="00D3490D">
        <w:rPr>
          <w:color w:val="auto"/>
        </w:rPr>
        <w:t>.</w:t>
      </w:r>
      <w:r w:rsidR="00A11567">
        <w:rPr>
          <w:color w:val="auto"/>
        </w:rPr>
        <w:t xml:space="preserve"> BGB berechtigt.</w:t>
      </w:r>
    </w:p>
    <w:p w14:paraId="236D26BA" w14:textId="77777777" w:rsidR="00EB3244" w:rsidRDefault="00EB3244" w:rsidP="00EB3244">
      <w:pPr>
        <w:pStyle w:val="SchemaDefinitionenHeader"/>
        <w:rPr>
          <w:color w:val="auto"/>
        </w:rPr>
      </w:pPr>
    </w:p>
    <w:p w14:paraId="4FD668F0" w14:textId="77777777" w:rsidR="00C16BD3" w:rsidRDefault="00C16BD3" w:rsidP="005A1B6D">
      <w:pPr>
        <w:pStyle w:val="SchemaDefinitionenHeader"/>
        <w:rPr>
          <w:color w:val="auto"/>
        </w:rPr>
      </w:pPr>
    </w:p>
    <w:p w14:paraId="4B0704D6" w14:textId="77777777" w:rsidR="00D561B3" w:rsidRDefault="00D561B3">
      <w:pPr>
        <w:rPr>
          <w:rFonts w:ascii="Open Sans" w:hAnsi="Open Sans" w:cs="Open Sans"/>
        </w:rPr>
      </w:pPr>
      <w:r>
        <w:br w:type="page"/>
      </w:r>
    </w:p>
    <w:p w14:paraId="1B027B23" w14:textId="5890EDFE" w:rsidR="00E21E38" w:rsidRDefault="00E21E38" w:rsidP="005A1B6D">
      <w:pPr>
        <w:pStyle w:val="SchemaDefinitionenHeader"/>
        <w:rPr>
          <w:color w:val="auto"/>
        </w:rPr>
      </w:pPr>
      <w:r>
        <w:rPr>
          <w:color w:val="auto"/>
        </w:rPr>
        <w:lastRenderedPageBreak/>
        <w:t>Auslegung von Willenserklärungen</w:t>
      </w:r>
    </w:p>
    <w:p w14:paraId="162F05F0" w14:textId="6A225B01" w:rsidR="00E21E38" w:rsidRDefault="004708B9" w:rsidP="002C5086">
      <w:pPr>
        <w:pStyle w:val="SchemaDefinitionenHeader"/>
        <w:ind w:left="2124" w:firstLine="6"/>
        <w:rPr>
          <w:color w:val="auto"/>
        </w:rPr>
      </w:pPr>
      <w:r>
        <w:rPr>
          <w:color w:val="auto"/>
        </w:rPr>
        <w:t xml:space="preserve">Empfangsbedürftige Willenserklärungen </w:t>
      </w:r>
      <w:r w:rsidR="006A58EF">
        <w:rPr>
          <w:color w:val="auto"/>
        </w:rPr>
        <w:t xml:space="preserve">sind aus der Sicht </w:t>
      </w:r>
      <w:r w:rsidR="002C5086">
        <w:rPr>
          <w:color w:val="auto"/>
        </w:rPr>
        <w:t>eines objektiv vernünftigen Dritten in der Position des Erklärungsempfängers auszulegen</w:t>
      </w:r>
      <w:r w:rsidR="00EB3244">
        <w:rPr>
          <w:color w:val="auto"/>
        </w:rPr>
        <w:t>. Es ist</w:t>
      </w:r>
      <w:r w:rsidR="002C5086">
        <w:rPr>
          <w:color w:val="auto"/>
        </w:rPr>
        <w:t xml:space="preserve"> zu fragen, wie diese Person die Erklärung verstehen würde (objektiver Empfängerhorizont, </w:t>
      </w:r>
      <w:r w:rsidR="002C5086">
        <w:rPr>
          <w:color w:val="auto"/>
        </w:rPr>
        <w:br/>
        <w:t>§§ 133, 157 BGB).</w:t>
      </w:r>
    </w:p>
    <w:p w14:paraId="6FDF1F6D" w14:textId="77777777" w:rsidR="002C5086" w:rsidRDefault="002C5086" w:rsidP="002C5086">
      <w:pPr>
        <w:pStyle w:val="SchemaDefinitionenHeader"/>
        <w:ind w:left="2124" w:firstLine="6"/>
        <w:rPr>
          <w:color w:val="auto"/>
        </w:rPr>
      </w:pPr>
    </w:p>
    <w:p w14:paraId="4C013A4C" w14:textId="7B0DB43D" w:rsidR="00CF6B64" w:rsidRDefault="006808BC" w:rsidP="005A1B6D">
      <w:pPr>
        <w:pStyle w:val="SchemaDefinitionenHeader"/>
        <w:rPr>
          <w:color w:val="auto"/>
        </w:rPr>
      </w:pPr>
      <w:r w:rsidRPr="006D2CA7">
        <w:rPr>
          <w:color w:val="auto"/>
        </w:rPr>
        <w:t>Essentialia negotii</w:t>
      </w:r>
    </w:p>
    <w:p w14:paraId="57C87B2D" w14:textId="72129100" w:rsidR="004708B9" w:rsidRDefault="006D2CA7" w:rsidP="006D2CA7">
      <w:pPr>
        <w:pStyle w:val="SchemaDefinitionenHeader"/>
        <w:ind w:left="2124" w:firstLine="6"/>
        <w:rPr>
          <w:color w:val="auto"/>
        </w:rPr>
      </w:pPr>
      <w:r>
        <w:rPr>
          <w:color w:val="auto"/>
        </w:rPr>
        <w:t>Jeder Vertrag muss die für ihn spezifischen wesentlichen Vertragsbestandteile</w:t>
      </w:r>
      <w:r w:rsidR="001549F9">
        <w:rPr>
          <w:color w:val="auto"/>
        </w:rPr>
        <w:t xml:space="preserve"> (</w:t>
      </w:r>
      <w:r w:rsidR="001549F9" w:rsidRPr="001549F9">
        <w:rPr>
          <w:i/>
          <w:color w:val="auto"/>
        </w:rPr>
        <w:t>essentialia negotii</w:t>
      </w:r>
      <w:r w:rsidR="001549F9">
        <w:rPr>
          <w:color w:val="auto"/>
        </w:rPr>
        <w:t xml:space="preserve">) </w:t>
      </w:r>
      <w:r>
        <w:rPr>
          <w:color w:val="auto"/>
        </w:rPr>
        <w:t xml:space="preserve"> e</w:t>
      </w:r>
      <w:r w:rsidR="001549F9">
        <w:rPr>
          <w:color w:val="auto"/>
        </w:rPr>
        <w:t>nt</w:t>
      </w:r>
      <w:r>
        <w:rPr>
          <w:color w:val="auto"/>
        </w:rPr>
        <w:t>halten. Beim Kaufvertrag sind dies Preis, Kaufgegenstand und die Vertragsparteien.</w:t>
      </w:r>
    </w:p>
    <w:p w14:paraId="57738F56" w14:textId="77777777" w:rsidR="006D2CA7" w:rsidRDefault="006D2CA7" w:rsidP="005A1B6D">
      <w:pPr>
        <w:pStyle w:val="SchemaDefinitionenHeader"/>
        <w:rPr>
          <w:color w:val="auto"/>
        </w:rPr>
      </w:pPr>
    </w:p>
    <w:p w14:paraId="0CF15A03" w14:textId="0C4AFF0B" w:rsidR="004708B9" w:rsidRDefault="004708B9" w:rsidP="005A1B6D">
      <w:pPr>
        <w:pStyle w:val="SchemaDefinitionenHeader"/>
        <w:rPr>
          <w:color w:val="auto"/>
        </w:rPr>
      </w:pPr>
      <w:r>
        <w:rPr>
          <w:color w:val="auto"/>
        </w:rPr>
        <w:t>Falsa demonstratio non nocet</w:t>
      </w:r>
    </w:p>
    <w:p w14:paraId="34270D8E" w14:textId="1AA9AC0A" w:rsidR="004708B9" w:rsidRDefault="004708B9" w:rsidP="004708B9">
      <w:pPr>
        <w:pStyle w:val="SchemaDefinitionenHeader"/>
        <w:ind w:left="2124" w:firstLine="6"/>
        <w:rPr>
          <w:color w:val="auto"/>
        </w:rPr>
      </w:pPr>
      <w:r>
        <w:rPr>
          <w:color w:val="auto"/>
        </w:rPr>
        <w:t>Meinen die Vertragsparteien das gleiche, benennen es aber gleichermaßen falsch, so findet eine Auslegung der Willenserklärungen ausnahmsweise nicht nach dem objektiven Empfängerhorizont statt, vielmehr ist das tatsächlich gewollte Erklärungsinhalt.</w:t>
      </w:r>
      <w:r w:rsidR="001549F9">
        <w:rPr>
          <w:color w:val="auto"/>
        </w:rPr>
        <w:t xml:space="preserve"> </w:t>
      </w:r>
      <w:r w:rsidR="001549F9" w:rsidRPr="001549F9">
        <w:rPr>
          <w:i/>
          <w:color w:val="auto"/>
        </w:rPr>
        <w:t>Falsa demonstratio non nocet</w:t>
      </w:r>
      <w:r w:rsidR="001549F9">
        <w:rPr>
          <w:color w:val="auto"/>
        </w:rPr>
        <w:t xml:space="preserve"> lässt sich übersetzen als „Falschbezeichnung schadet nicht“.</w:t>
      </w:r>
    </w:p>
    <w:p w14:paraId="46777BF0" w14:textId="77777777" w:rsidR="004708B9" w:rsidRDefault="004708B9" w:rsidP="004708B9">
      <w:pPr>
        <w:pStyle w:val="SchemaDefinitionenHeader"/>
        <w:ind w:left="2124" w:firstLine="6"/>
        <w:rPr>
          <w:color w:val="auto"/>
        </w:rPr>
      </w:pPr>
    </w:p>
    <w:p w14:paraId="2FAD482B" w14:textId="0397B658" w:rsidR="005A1B6D" w:rsidRDefault="00EE2E85" w:rsidP="005A1B6D">
      <w:pPr>
        <w:pStyle w:val="SchemaDefinitionenHeader"/>
        <w:rPr>
          <w:color w:val="auto"/>
        </w:rPr>
      </w:pPr>
      <w:r>
        <w:rPr>
          <w:color w:val="auto"/>
        </w:rPr>
        <w:t>Rechtsgeschäft</w:t>
      </w:r>
    </w:p>
    <w:p w14:paraId="2E318526" w14:textId="76367B9E" w:rsidR="00EE2E85" w:rsidRDefault="00EE2E85" w:rsidP="00A7211A">
      <w:pPr>
        <w:pStyle w:val="SchemaDefinitionenHeader"/>
        <w:ind w:left="2124" w:firstLine="6"/>
        <w:rPr>
          <w:color w:val="auto"/>
        </w:rPr>
      </w:pPr>
      <w:r>
        <w:rPr>
          <w:color w:val="auto"/>
        </w:rPr>
        <w:t xml:space="preserve">Ein </w:t>
      </w:r>
      <w:r w:rsidRPr="00A7211A">
        <w:rPr>
          <w:i/>
          <w:iCs/>
          <w:color w:val="auto"/>
        </w:rPr>
        <w:t>Rechtsgeschäft</w:t>
      </w:r>
      <w:r>
        <w:rPr>
          <w:color w:val="auto"/>
        </w:rPr>
        <w:t xml:space="preserve"> </w:t>
      </w:r>
      <w:r w:rsidR="00A7211A">
        <w:rPr>
          <w:color w:val="auto"/>
        </w:rPr>
        <w:t>ist</w:t>
      </w:r>
      <w:r w:rsidR="006D2CA7">
        <w:rPr>
          <w:color w:val="auto"/>
        </w:rPr>
        <w:t xml:space="preserve"> </w:t>
      </w:r>
      <w:r w:rsidR="00A7211A">
        <w:rPr>
          <w:color w:val="auto"/>
        </w:rPr>
        <w:t xml:space="preserve">ein Tatbestand bestehend </w:t>
      </w:r>
      <w:r>
        <w:rPr>
          <w:color w:val="auto"/>
        </w:rPr>
        <w:t xml:space="preserve">aus einer oder mehreren Willenserklärungen, </w:t>
      </w:r>
      <w:r w:rsidR="00A7211A">
        <w:rPr>
          <w:color w:val="auto"/>
        </w:rPr>
        <w:t>die allein oder in Verbindung mit anderen Tatbestandsmerkmalen eine gewollte Rechtsfolge herbeiführen.</w:t>
      </w:r>
    </w:p>
    <w:p w14:paraId="516CBF10" w14:textId="09C571A8" w:rsidR="00EE2E85" w:rsidRDefault="00EE2E85" w:rsidP="005A1B6D">
      <w:pPr>
        <w:pStyle w:val="SchemaDefinitionenHeader"/>
        <w:rPr>
          <w:color w:val="auto"/>
        </w:rPr>
      </w:pPr>
    </w:p>
    <w:p w14:paraId="1525F18C" w14:textId="77777777" w:rsidR="001549F9" w:rsidRDefault="001549F9">
      <w:pPr>
        <w:rPr>
          <w:rFonts w:ascii="Open Sans" w:hAnsi="Open Sans" w:cs="Open Sans"/>
        </w:rPr>
      </w:pPr>
      <w:r>
        <w:br w:type="page"/>
      </w:r>
    </w:p>
    <w:p w14:paraId="76A5ECAE" w14:textId="73DD8AE2" w:rsidR="00A7211A" w:rsidRPr="00987135" w:rsidRDefault="00A7211A" w:rsidP="005A1B6D">
      <w:pPr>
        <w:pStyle w:val="SchemaDefinitionenHeader"/>
        <w:rPr>
          <w:color w:val="auto"/>
        </w:rPr>
      </w:pPr>
      <w:r w:rsidRPr="00987135">
        <w:rPr>
          <w:color w:val="auto"/>
        </w:rPr>
        <w:lastRenderedPageBreak/>
        <w:t>Einseitiges Rechtsgeschäft</w:t>
      </w:r>
    </w:p>
    <w:p w14:paraId="21112C9F" w14:textId="77777777" w:rsidR="00987135" w:rsidRDefault="00987135" w:rsidP="00987135">
      <w:pPr>
        <w:pStyle w:val="SchemaDefinitionenHeader"/>
        <w:ind w:left="2124" w:firstLine="6"/>
        <w:rPr>
          <w:color w:val="auto"/>
        </w:rPr>
      </w:pPr>
      <w:r w:rsidRPr="00987135">
        <w:rPr>
          <w:i/>
          <w:iCs/>
          <w:color w:val="auto"/>
        </w:rPr>
        <w:t>Einseitige Rechtsgeschäfte</w:t>
      </w:r>
      <w:r>
        <w:rPr>
          <w:color w:val="auto"/>
        </w:rPr>
        <w:t xml:space="preserve"> führen beim Vorliegen von nur einer Willenserklärung bereits zu einem Rechtserfolg. Unterteilen lässt sich wie folgt: </w:t>
      </w:r>
    </w:p>
    <w:p w14:paraId="215D15A0" w14:textId="10CD01FF" w:rsidR="00987135" w:rsidRDefault="00987135" w:rsidP="00987135">
      <w:pPr>
        <w:pStyle w:val="SchemaDefinitionenHeader"/>
        <w:numPr>
          <w:ilvl w:val="0"/>
          <w:numId w:val="26"/>
        </w:numPr>
        <w:rPr>
          <w:color w:val="auto"/>
        </w:rPr>
      </w:pPr>
      <w:r>
        <w:rPr>
          <w:color w:val="auto"/>
        </w:rPr>
        <w:t>Einseitige Rechtsgeschäfte bestehend aus einer empfangsbedürftigen Willenserklärung (z.B. Kündigung</w:t>
      </w:r>
      <w:r w:rsidR="009D0F5B">
        <w:rPr>
          <w:color w:val="auto"/>
        </w:rPr>
        <w:t>, Anfechtung, Rücktritt</w:t>
      </w:r>
      <w:r>
        <w:rPr>
          <w:color w:val="auto"/>
        </w:rPr>
        <w:t xml:space="preserve">) </w:t>
      </w:r>
    </w:p>
    <w:p w14:paraId="3282B6E7" w14:textId="7A39AD15" w:rsidR="00987135" w:rsidRDefault="00987135" w:rsidP="00D561B3">
      <w:pPr>
        <w:pStyle w:val="SchemaDefinitionenHeader"/>
        <w:numPr>
          <w:ilvl w:val="0"/>
          <w:numId w:val="26"/>
        </w:numPr>
        <w:rPr>
          <w:color w:val="auto"/>
        </w:rPr>
      </w:pPr>
      <w:r>
        <w:rPr>
          <w:color w:val="auto"/>
        </w:rPr>
        <w:t>Einseitige Rechtsgeschäfte bestehend aus einer nichtempfangsbedürftigen Willenserklärung (z.B. Auslobung, § 657 BGB)</w:t>
      </w:r>
    </w:p>
    <w:p w14:paraId="11B1FA57" w14:textId="77777777" w:rsidR="001549F9" w:rsidRPr="00D561B3" w:rsidRDefault="001549F9" w:rsidP="001549F9">
      <w:pPr>
        <w:pStyle w:val="SchemaDefinitionenHeader"/>
        <w:ind w:left="2490"/>
        <w:rPr>
          <w:color w:val="auto"/>
        </w:rPr>
      </w:pPr>
    </w:p>
    <w:p w14:paraId="38350150" w14:textId="726AD9D8" w:rsidR="00A7211A" w:rsidRPr="00C36D9A" w:rsidRDefault="00A7211A" w:rsidP="005A1B6D">
      <w:pPr>
        <w:pStyle w:val="SchemaDefinitionenHeader"/>
        <w:rPr>
          <w:color w:val="auto"/>
        </w:rPr>
      </w:pPr>
      <w:r w:rsidRPr="00C36D9A">
        <w:rPr>
          <w:color w:val="auto"/>
        </w:rPr>
        <w:t>Mehrseitiges Rechtsgeschäft</w:t>
      </w:r>
    </w:p>
    <w:p w14:paraId="18F8E40F" w14:textId="33BE588F" w:rsidR="005A1B6D" w:rsidRDefault="00987135" w:rsidP="005A1B6D">
      <w:pPr>
        <w:pStyle w:val="SchemaDefinitionenHeader"/>
        <w:rPr>
          <w:color w:val="auto"/>
        </w:rPr>
      </w:pPr>
      <w:r>
        <w:rPr>
          <w:color w:val="auto"/>
        </w:rPr>
        <w:tab/>
      </w:r>
      <w:r>
        <w:rPr>
          <w:color w:val="auto"/>
        </w:rPr>
        <w:tab/>
      </w:r>
      <w:r>
        <w:rPr>
          <w:color w:val="auto"/>
        </w:rPr>
        <w:tab/>
      </w:r>
      <w:r w:rsidRPr="00C36D9A">
        <w:rPr>
          <w:i/>
          <w:iCs/>
          <w:color w:val="auto"/>
        </w:rPr>
        <w:t>Mehrseitige Rechtsgeschäfte</w:t>
      </w:r>
      <w:r>
        <w:rPr>
          <w:color w:val="auto"/>
        </w:rPr>
        <w:t xml:space="preserve"> lassen sich unterteilen in:</w:t>
      </w:r>
    </w:p>
    <w:p w14:paraId="285833CD" w14:textId="2B1A2869" w:rsidR="00987135" w:rsidRDefault="00987135" w:rsidP="00987135">
      <w:pPr>
        <w:pStyle w:val="SchemaDefinitionenHeader"/>
        <w:numPr>
          <w:ilvl w:val="0"/>
          <w:numId w:val="26"/>
        </w:numPr>
        <w:rPr>
          <w:color w:val="auto"/>
        </w:rPr>
      </w:pPr>
      <w:r>
        <w:rPr>
          <w:color w:val="auto"/>
        </w:rPr>
        <w:t>Einseitig verpflichtende Verträge (z.B. Schenkung</w:t>
      </w:r>
      <w:r w:rsidR="00C36D9A">
        <w:rPr>
          <w:color w:val="auto"/>
        </w:rPr>
        <w:t xml:space="preserve"> nach § 516 BGB oder Leihe nach § 598 BGB)</w:t>
      </w:r>
    </w:p>
    <w:p w14:paraId="2E679A9C" w14:textId="6C12D0D9" w:rsidR="00987135" w:rsidRDefault="00C36D9A" w:rsidP="00987135">
      <w:pPr>
        <w:pStyle w:val="SchemaDefinitionenHeader"/>
        <w:numPr>
          <w:ilvl w:val="0"/>
          <w:numId w:val="26"/>
        </w:numPr>
        <w:rPr>
          <w:color w:val="auto"/>
        </w:rPr>
      </w:pPr>
      <w:r>
        <w:rPr>
          <w:color w:val="auto"/>
        </w:rPr>
        <w:t>Mehrseitig verpflichtende Verträge (z.B. Mietvertrag nach § 535 BGB oder Kaufvertrag nach § 433 BGB)</w:t>
      </w:r>
    </w:p>
    <w:p w14:paraId="5447CF79" w14:textId="77777777" w:rsidR="00C36D9A" w:rsidRDefault="00C36D9A" w:rsidP="005A1B6D">
      <w:pPr>
        <w:pStyle w:val="SchemaDefinitionenHeader"/>
        <w:rPr>
          <w:color w:val="auto"/>
        </w:rPr>
      </w:pPr>
    </w:p>
    <w:p w14:paraId="088B8CAE" w14:textId="08342A4F" w:rsidR="00A7211A" w:rsidRDefault="00A7211A" w:rsidP="005A1B6D">
      <w:pPr>
        <w:pStyle w:val="SchemaDefinitionenHeader"/>
        <w:rPr>
          <w:color w:val="auto"/>
        </w:rPr>
      </w:pPr>
      <w:r>
        <w:rPr>
          <w:color w:val="auto"/>
        </w:rPr>
        <w:t>Vertrag</w:t>
      </w:r>
    </w:p>
    <w:p w14:paraId="08E64CF3" w14:textId="1C1294D6" w:rsidR="00A7211A" w:rsidRDefault="00A7211A" w:rsidP="00A7211A">
      <w:pPr>
        <w:pStyle w:val="SchemaDefinitionenHeader"/>
        <w:ind w:left="2124" w:firstLine="6"/>
        <w:rPr>
          <w:color w:val="auto"/>
        </w:rPr>
      </w:pPr>
      <w:r>
        <w:rPr>
          <w:color w:val="auto"/>
        </w:rPr>
        <w:t xml:space="preserve">Ein </w:t>
      </w:r>
      <w:r>
        <w:rPr>
          <w:i/>
          <w:color w:val="auto"/>
        </w:rPr>
        <w:t xml:space="preserve">Vertrag </w:t>
      </w:r>
      <w:r>
        <w:rPr>
          <w:color w:val="auto"/>
        </w:rPr>
        <w:t>ist ein Rechtsgeschäft, in dem mindestens zwei Vertragspartner übereinstimmende (=</w:t>
      </w:r>
      <w:r w:rsidR="001549F9">
        <w:rPr>
          <w:color w:val="auto"/>
        </w:rPr>
        <w:t xml:space="preserve"> </w:t>
      </w:r>
      <w:r>
        <w:rPr>
          <w:color w:val="auto"/>
        </w:rPr>
        <w:t>konkludente)</w:t>
      </w:r>
      <w:r w:rsidR="001549F9">
        <w:rPr>
          <w:color w:val="auto"/>
        </w:rPr>
        <w:t xml:space="preserve"> </w:t>
      </w:r>
      <w:r>
        <w:rPr>
          <w:color w:val="auto"/>
        </w:rPr>
        <w:t>Willenserklärungen abgeben und hierdurch eine bestimmte Rechtsfolge erzielen wollen.</w:t>
      </w:r>
      <w:r w:rsidR="00CF6B64">
        <w:rPr>
          <w:color w:val="auto"/>
        </w:rPr>
        <w:t xml:space="preserve"> </w:t>
      </w:r>
      <w:r w:rsidR="006E310E">
        <w:rPr>
          <w:color w:val="auto"/>
        </w:rPr>
        <w:t xml:space="preserve">Ein </w:t>
      </w:r>
      <w:r w:rsidR="00C23EC5">
        <w:rPr>
          <w:color w:val="auto"/>
        </w:rPr>
        <w:t>V</w:t>
      </w:r>
      <w:r w:rsidR="006E310E">
        <w:rPr>
          <w:color w:val="auto"/>
        </w:rPr>
        <w:t>ertrag ist</w:t>
      </w:r>
      <w:r w:rsidR="00CF6B64">
        <w:rPr>
          <w:color w:val="auto"/>
        </w:rPr>
        <w:t xml:space="preserve"> vom Realakt und der geschäftsähnlichen Handlung zu unterscheiden.</w:t>
      </w:r>
    </w:p>
    <w:p w14:paraId="5B288BE8" w14:textId="3D8C2A62" w:rsidR="00A7211A" w:rsidRDefault="00A7211A" w:rsidP="00A7211A">
      <w:pPr>
        <w:pStyle w:val="SchemaDefinitionenHeader"/>
        <w:rPr>
          <w:color w:val="auto"/>
        </w:rPr>
      </w:pPr>
    </w:p>
    <w:p w14:paraId="4542C90B" w14:textId="50662CE9" w:rsidR="00A7211A" w:rsidRPr="00C23EC5" w:rsidRDefault="00A7211A" w:rsidP="00A7211A">
      <w:pPr>
        <w:pStyle w:val="SchemaDefinitionenHeader"/>
        <w:rPr>
          <w:color w:val="auto"/>
        </w:rPr>
      </w:pPr>
      <w:r w:rsidRPr="00C23EC5">
        <w:rPr>
          <w:color w:val="auto"/>
        </w:rPr>
        <w:t>Angebot</w:t>
      </w:r>
    </w:p>
    <w:p w14:paraId="7AD5D071" w14:textId="173949E5" w:rsidR="00C23EC5" w:rsidRDefault="00C23EC5" w:rsidP="00C23EC5">
      <w:pPr>
        <w:pStyle w:val="SchemaDefinitionenHeader"/>
        <w:ind w:left="2124" w:firstLine="6"/>
        <w:rPr>
          <w:color w:val="auto"/>
        </w:rPr>
      </w:pPr>
      <w:r w:rsidRPr="00C23EC5">
        <w:rPr>
          <w:color w:val="auto"/>
        </w:rPr>
        <w:t xml:space="preserve">Ein </w:t>
      </w:r>
      <w:r w:rsidRPr="00C23EC5">
        <w:rPr>
          <w:i/>
          <w:iCs/>
          <w:color w:val="auto"/>
        </w:rPr>
        <w:t>Angebot</w:t>
      </w:r>
      <w:r w:rsidRPr="00C23EC5">
        <w:rPr>
          <w:color w:val="auto"/>
        </w:rPr>
        <w:t xml:space="preserve"> ist eine einseitig empfangsbedürftige Willenserklärung, die einer anderen Person den Abschluss eines Vertrages in der Weise anträgt, dass sie den Vertrag mit einem bloßen „Ja“ zustande bringen kann. Ein Angebot setzt Abgabe und Zugang voraus.</w:t>
      </w:r>
      <w:r w:rsidR="00881896">
        <w:rPr>
          <w:color w:val="auto"/>
        </w:rPr>
        <w:t xml:space="preserve"> Es ist von einer invitatio ad offerendum zu unterscheiden.</w:t>
      </w:r>
    </w:p>
    <w:p w14:paraId="0BD48699" w14:textId="77777777" w:rsidR="00FC1215" w:rsidRPr="00C23EC5" w:rsidRDefault="00FC1215" w:rsidP="00C23EC5">
      <w:pPr>
        <w:pStyle w:val="SchemaDefinitionenHeader"/>
        <w:ind w:left="2124" w:firstLine="6"/>
        <w:rPr>
          <w:color w:val="auto"/>
        </w:rPr>
      </w:pPr>
    </w:p>
    <w:p w14:paraId="4DBBB7A7" w14:textId="77777777" w:rsidR="001549F9" w:rsidRDefault="001549F9">
      <w:pPr>
        <w:rPr>
          <w:rFonts w:ascii="Open Sans" w:hAnsi="Open Sans" w:cs="Open Sans"/>
        </w:rPr>
      </w:pPr>
      <w:r>
        <w:br w:type="page"/>
      </w:r>
    </w:p>
    <w:p w14:paraId="20DBC51B" w14:textId="0FE48B2B" w:rsidR="00A7211A" w:rsidRPr="005A6852" w:rsidRDefault="00FC1215" w:rsidP="00A7211A">
      <w:pPr>
        <w:pStyle w:val="SchemaDefinitionenHeader"/>
        <w:rPr>
          <w:color w:val="auto"/>
        </w:rPr>
      </w:pPr>
      <w:r w:rsidRPr="005A6852">
        <w:rPr>
          <w:color w:val="auto"/>
        </w:rPr>
        <w:lastRenderedPageBreak/>
        <w:t>Konsens</w:t>
      </w:r>
    </w:p>
    <w:p w14:paraId="3DA401E5" w14:textId="29522617" w:rsidR="005A6852" w:rsidRPr="005A6852" w:rsidRDefault="005A6852" w:rsidP="005A6852">
      <w:pPr>
        <w:pStyle w:val="SchemaDefinitionenHeader"/>
        <w:ind w:left="2124" w:firstLine="6"/>
        <w:rPr>
          <w:color w:val="auto"/>
        </w:rPr>
      </w:pPr>
      <w:r w:rsidRPr="005A6852">
        <w:rPr>
          <w:color w:val="auto"/>
        </w:rPr>
        <w:t xml:space="preserve">Ein </w:t>
      </w:r>
      <w:r w:rsidRPr="005A6852">
        <w:rPr>
          <w:i/>
          <w:iCs/>
          <w:color w:val="auto"/>
        </w:rPr>
        <w:t>Konsens</w:t>
      </w:r>
      <w:r w:rsidRPr="005A6852">
        <w:rPr>
          <w:color w:val="auto"/>
        </w:rPr>
        <w:t xml:space="preserve"> (lat. consensus = </w:t>
      </w:r>
      <w:r w:rsidR="007F4204">
        <w:rPr>
          <w:color w:val="auto"/>
        </w:rPr>
        <w:t>„</w:t>
      </w:r>
      <w:r w:rsidRPr="005A6852">
        <w:rPr>
          <w:color w:val="auto"/>
        </w:rPr>
        <w:t>Übereinstimmung</w:t>
      </w:r>
      <w:r w:rsidR="007F4204">
        <w:rPr>
          <w:color w:val="auto"/>
        </w:rPr>
        <w:t>“</w:t>
      </w:r>
      <w:r w:rsidRPr="005A6852">
        <w:rPr>
          <w:color w:val="auto"/>
        </w:rPr>
        <w:t xml:space="preserve">) </w:t>
      </w:r>
      <w:r>
        <w:rPr>
          <w:color w:val="auto"/>
        </w:rPr>
        <w:t>ist gegeben</w:t>
      </w:r>
      <w:r w:rsidRPr="005A6852">
        <w:rPr>
          <w:color w:val="auto"/>
        </w:rPr>
        <w:t>, wenn zwei übereinstimmende Willenserklärungen</w:t>
      </w:r>
      <w:r>
        <w:rPr>
          <w:color w:val="auto"/>
        </w:rPr>
        <w:t xml:space="preserve"> (</w:t>
      </w:r>
      <w:r w:rsidRPr="005A6852">
        <w:rPr>
          <w:color w:val="auto"/>
        </w:rPr>
        <w:t>Angebot und Annahme</w:t>
      </w:r>
      <w:r>
        <w:rPr>
          <w:color w:val="auto"/>
        </w:rPr>
        <w:t>)</w:t>
      </w:r>
      <w:r w:rsidRPr="005A6852">
        <w:rPr>
          <w:color w:val="auto"/>
        </w:rPr>
        <w:t xml:space="preserve"> </w:t>
      </w:r>
      <w:r>
        <w:rPr>
          <w:color w:val="auto"/>
        </w:rPr>
        <w:t>vorliegen</w:t>
      </w:r>
      <w:r w:rsidRPr="005A6852">
        <w:rPr>
          <w:color w:val="auto"/>
        </w:rPr>
        <w:t>, die auf einen Vertragsschluss und somit auf das Herbeiführen einer bestimmten Rechtsfolge abzielen.</w:t>
      </w:r>
      <w:r>
        <w:rPr>
          <w:color w:val="auto"/>
        </w:rPr>
        <w:t xml:space="preserve"> Die Fallgruppe falsa demonstratio non nocet (Falschbezeichnung schadet nicht) stellt ebenfalls einen Konsens dar, obwohl die Willenserklärungen objektiv nicht übereinstimmen.</w:t>
      </w:r>
    </w:p>
    <w:p w14:paraId="4FF447AD" w14:textId="77777777" w:rsidR="005A6852" w:rsidRDefault="005A6852" w:rsidP="00A7211A">
      <w:pPr>
        <w:pStyle w:val="SchemaDefinitionenHeader"/>
        <w:rPr>
          <w:color w:val="auto"/>
          <w:highlight w:val="yellow"/>
        </w:rPr>
      </w:pPr>
    </w:p>
    <w:p w14:paraId="4C83D238" w14:textId="6C31CC98" w:rsidR="00FC1215" w:rsidRPr="00CE47A4" w:rsidRDefault="00FC1215" w:rsidP="00A7211A">
      <w:pPr>
        <w:pStyle w:val="SchemaDefinitionenHeader"/>
        <w:rPr>
          <w:color w:val="auto"/>
        </w:rPr>
      </w:pPr>
      <w:r w:rsidRPr="00CE47A4">
        <w:rPr>
          <w:color w:val="auto"/>
        </w:rPr>
        <w:t>Dissens</w:t>
      </w:r>
    </w:p>
    <w:p w14:paraId="4D82C47A" w14:textId="49C06BB7" w:rsidR="005A6852" w:rsidRDefault="005A6852" w:rsidP="005A6852">
      <w:pPr>
        <w:pStyle w:val="SchemaDefinitionenHeader"/>
        <w:ind w:left="2124" w:firstLine="6"/>
        <w:rPr>
          <w:color w:val="auto"/>
        </w:rPr>
      </w:pPr>
      <w:r w:rsidRPr="00CE47A4">
        <w:rPr>
          <w:color w:val="auto"/>
        </w:rPr>
        <w:t xml:space="preserve">Ein </w:t>
      </w:r>
      <w:r w:rsidRPr="00CE47A4">
        <w:rPr>
          <w:i/>
          <w:iCs/>
          <w:color w:val="auto"/>
        </w:rPr>
        <w:t>Dissens</w:t>
      </w:r>
      <w:r w:rsidRPr="00CE47A4">
        <w:rPr>
          <w:color w:val="auto"/>
        </w:rPr>
        <w:t xml:space="preserve"> (lat. dissensus = </w:t>
      </w:r>
      <w:r w:rsidR="007F4204">
        <w:rPr>
          <w:color w:val="auto"/>
        </w:rPr>
        <w:t>„Uneinigkeit“</w:t>
      </w:r>
      <w:r w:rsidRPr="00CE47A4">
        <w:rPr>
          <w:color w:val="auto"/>
        </w:rPr>
        <w:t>) ist gegeben, wenn Angebot und Annahme nicht übereinstimmen. Entsprechend lässt diese mangelnde Einigung gerade keinen Vertrag entstehen.</w:t>
      </w:r>
      <w:r w:rsidR="00CE47A4">
        <w:rPr>
          <w:color w:val="auto"/>
        </w:rPr>
        <w:t xml:space="preserve"> Unterschieden werden muss zwischen offenen und versteckten Dissens (§§ 154, 155 BGB).</w:t>
      </w:r>
    </w:p>
    <w:p w14:paraId="0D770759" w14:textId="2A619F13" w:rsidR="00CE47A4" w:rsidRDefault="00CE47A4" w:rsidP="00CE47A4">
      <w:pPr>
        <w:pStyle w:val="SchemaDefinitionenHeader"/>
        <w:rPr>
          <w:color w:val="auto"/>
        </w:rPr>
      </w:pPr>
    </w:p>
    <w:p w14:paraId="11235B11" w14:textId="22AF378C" w:rsidR="00CE47A4" w:rsidRDefault="00CE47A4" w:rsidP="00CE47A4">
      <w:pPr>
        <w:pStyle w:val="SchemaDefinitionenHeader"/>
        <w:rPr>
          <w:color w:val="auto"/>
        </w:rPr>
      </w:pPr>
      <w:r>
        <w:rPr>
          <w:color w:val="auto"/>
        </w:rPr>
        <w:t>Offener Dissens, § 154 BGB</w:t>
      </w:r>
    </w:p>
    <w:p w14:paraId="36F2B300" w14:textId="4A3AD35F" w:rsidR="00CE47A4" w:rsidRPr="00CE47A4" w:rsidRDefault="00CE47A4" w:rsidP="00CE47A4">
      <w:pPr>
        <w:pStyle w:val="SchemaDefinitionenHeader"/>
        <w:ind w:left="2124" w:firstLine="6"/>
        <w:rPr>
          <w:color w:val="auto"/>
        </w:rPr>
      </w:pPr>
      <w:r>
        <w:rPr>
          <w:color w:val="auto"/>
        </w:rPr>
        <w:t xml:space="preserve">Ein </w:t>
      </w:r>
      <w:r w:rsidRPr="003B1E9E">
        <w:rPr>
          <w:i/>
          <w:iCs/>
          <w:color w:val="auto"/>
        </w:rPr>
        <w:t>offener Dissens</w:t>
      </w:r>
      <w:r>
        <w:rPr>
          <w:color w:val="auto"/>
        </w:rPr>
        <w:t xml:space="preserve"> (offener Einigungsmangel) liegt vor, wenn sich die Parteien noch nicht vollständig über den Inhalt des Vertrages geeinigt haben, aber zumindest eine Partei über einen noch ausstehenden Punkt</w:t>
      </w:r>
      <w:r w:rsidR="003B1E9E">
        <w:rPr>
          <w:color w:val="auto"/>
        </w:rPr>
        <w:t xml:space="preserve"> (Nebenregelung)</w:t>
      </w:r>
      <w:r>
        <w:rPr>
          <w:color w:val="auto"/>
        </w:rPr>
        <w:t xml:space="preserve"> eine Einigung erzielen möchte und somit beide Parteien wissen, dass eine vollständige Einigung noch aussteht. Beachte, dass </w:t>
      </w:r>
      <w:r w:rsidR="003B1E9E">
        <w:rPr>
          <w:color w:val="auto"/>
        </w:rPr>
        <w:t xml:space="preserve">bei Nichteinigung über die </w:t>
      </w:r>
      <w:r>
        <w:rPr>
          <w:color w:val="auto"/>
        </w:rPr>
        <w:t xml:space="preserve">essentialia negotii (wesentliche Vertragsbestandteile) </w:t>
      </w:r>
      <w:r w:rsidR="003B1E9E">
        <w:rPr>
          <w:color w:val="auto"/>
        </w:rPr>
        <w:t xml:space="preserve">der § 154 BGB bereits nicht anwendbar ist, da er sich lediglich auf Nebenregelungen bezieht. </w:t>
      </w:r>
    </w:p>
    <w:p w14:paraId="3CD374EC" w14:textId="44CE4B6C" w:rsidR="00FC1215" w:rsidRDefault="00FC1215" w:rsidP="00A7211A">
      <w:pPr>
        <w:pStyle w:val="SchemaDefinitionenHeader"/>
        <w:rPr>
          <w:color w:val="auto"/>
          <w:highlight w:val="yellow"/>
        </w:rPr>
      </w:pPr>
    </w:p>
    <w:p w14:paraId="39303E55" w14:textId="4DCBB75B" w:rsidR="00CE47A4" w:rsidRPr="003B1E9E" w:rsidRDefault="00CE47A4" w:rsidP="00A7211A">
      <w:pPr>
        <w:pStyle w:val="SchemaDefinitionenHeader"/>
        <w:rPr>
          <w:color w:val="auto"/>
        </w:rPr>
      </w:pPr>
      <w:r w:rsidRPr="003B1E9E">
        <w:rPr>
          <w:color w:val="auto"/>
        </w:rPr>
        <w:t>Geschlossener Dissens, § 155 BGB</w:t>
      </w:r>
    </w:p>
    <w:p w14:paraId="1742FEBE" w14:textId="7CAA3481" w:rsidR="003B1E9E" w:rsidRPr="00CE47A4" w:rsidRDefault="003B1E9E" w:rsidP="003B1E9E">
      <w:pPr>
        <w:pStyle w:val="SchemaDefinitionenHeader"/>
        <w:ind w:left="2124" w:firstLine="6"/>
        <w:rPr>
          <w:color w:val="auto"/>
        </w:rPr>
      </w:pPr>
      <w:r w:rsidRPr="003B1E9E">
        <w:rPr>
          <w:color w:val="auto"/>
        </w:rPr>
        <w:t xml:space="preserve">Ein </w:t>
      </w:r>
      <w:r w:rsidRPr="003B1E9E">
        <w:rPr>
          <w:i/>
          <w:iCs/>
          <w:color w:val="auto"/>
        </w:rPr>
        <w:t>geschlossener Dissens</w:t>
      </w:r>
      <w:r w:rsidRPr="003B1E9E">
        <w:rPr>
          <w:color w:val="auto"/>
        </w:rPr>
        <w:t xml:space="preserve"> (versteckter Einigungsmangel) liegt vor, </w:t>
      </w:r>
      <w:r>
        <w:rPr>
          <w:color w:val="auto"/>
        </w:rPr>
        <w:t xml:space="preserve">wenn sich die Parteien noch nicht vollständig über den Inhalt des Vertrages geeinigt haben, sich allerdings über einen noch ausstehenden Punkt (Nebenregelung) noch einigen wollten und beide Parteien sich dieser fehlenden Einigung nicht bewusst sind, weshalb sie den Vertrag als geschlossen ansehen. Kommt dennoch ein Vertrag zustande, so gilt diese Vereinbarung, wenn sich aus ergänzender Vertragsauslegung (§§ 133, 157 BGB) nichts Gegenteiliges ergibt. Beachte, dass bei Nichteinigung über die essentialia negotii (wesentliche Vertragsbestandteile) der § 155 BGB </w:t>
      </w:r>
      <w:r>
        <w:rPr>
          <w:color w:val="auto"/>
        </w:rPr>
        <w:lastRenderedPageBreak/>
        <w:t xml:space="preserve">bereits nicht anwendbar ist, da er sich lediglich auf Nebenregelungen bezieht. </w:t>
      </w:r>
    </w:p>
    <w:p w14:paraId="20910845" w14:textId="77777777" w:rsidR="003B1E9E" w:rsidRDefault="003B1E9E" w:rsidP="00A7211A">
      <w:pPr>
        <w:pStyle w:val="SchemaDefinitionenHeader"/>
        <w:rPr>
          <w:color w:val="auto"/>
          <w:highlight w:val="yellow"/>
        </w:rPr>
      </w:pPr>
    </w:p>
    <w:p w14:paraId="1175F0E7" w14:textId="6872CFCA" w:rsidR="00C23EC5" w:rsidRPr="00C23EC5" w:rsidRDefault="00C23EC5" w:rsidP="00A7211A">
      <w:pPr>
        <w:pStyle w:val="SchemaDefinitionenHeader"/>
        <w:rPr>
          <w:color w:val="auto"/>
        </w:rPr>
      </w:pPr>
      <w:r w:rsidRPr="00C23EC5">
        <w:rPr>
          <w:color w:val="auto"/>
        </w:rPr>
        <w:t>Invitatio ad offerendum</w:t>
      </w:r>
    </w:p>
    <w:p w14:paraId="7DE64616" w14:textId="39E3BA59" w:rsidR="00D3490D" w:rsidRDefault="001549F9" w:rsidP="00C23EC5">
      <w:pPr>
        <w:pStyle w:val="SchemaDefinitionenHeader"/>
        <w:ind w:left="2124" w:firstLine="6"/>
        <w:rPr>
          <w:color w:val="auto"/>
        </w:rPr>
      </w:pPr>
      <w:r>
        <w:rPr>
          <w:color w:val="auto"/>
        </w:rPr>
        <w:t xml:space="preserve">Unter invitatio ad offerendum versteht man die </w:t>
      </w:r>
      <w:r w:rsidR="00C23EC5" w:rsidRPr="00C23EC5">
        <w:rPr>
          <w:color w:val="auto"/>
        </w:rPr>
        <w:t>Einladung ein Angebot abzugeben. Es handelt sich mithin nicht um ein Angebot, da der Rechtsbindungswillen fehlt.</w:t>
      </w:r>
    </w:p>
    <w:p w14:paraId="179A6927" w14:textId="1B71F590" w:rsidR="00C23EC5" w:rsidRPr="00C23EC5" w:rsidRDefault="00C23EC5" w:rsidP="00C23EC5">
      <w:pPr>
        <w:pStyle w:val="SchemaDefinitionenHeader"/>
        <w:ind w:left="2124" w:firstLine="6"/>
        <w:rPr>
          <w:color w:val="auto"/>
        </w:rPr>
      </w:pPr>
      <w:r w:rsidRPr="00DA4AEE">
        <w:rPr>
          <w:i/>
          <w:iCs/>
          <w:color w:val="auto"/>
        </w:rPr>
        <w:t>Bsp.:</w:t>
      </w:r>
      <w:r w:rsidRPr="00C23EC5">
        <w:rPr>
          <w:color w:val="auto"/>
        </w:rPr>
        <w:t xml:space="preserve"> Prospekte, Schaufensterauslagen …</w:t>
      </w:r>
    </w:p>
    <w:p w14:paraId="21CCF3D6" w14:textId="77777777" w:rsidR="00C23EC5" w:rsidRPr="00CF6B64" w:rsidRDefault="00C23EC5" w:rsidP="00C23EC5">
      <w:pPr>
        <w:pStyle w:val="SchemaDefinitionenHeader"/>
        <w:ind w:left="2124" w:firstLine="6"/>
        <w:rPr>
          <w:color w:val="auto"/>
          <w:highlight w:val="yellow"/>
        </w:rPr>
      </w:pPr>
    </w:p>
    <w:p w14:paraId="76F2B641" w14:textId="2301B8AD" w:rsidR="00A7211A" w:rsidRPr="00C23EC5" w:rsidRDefault="00A7211A" w:rsidP="00A7211A">
      <w:pPr>
        <w:pStyle w:val="SchemaDefinitionenHeader"/>
        <w:rPr>
          <w:color w:val="auto"/>
        </w:rPr>
      </w:pPr>
      <w:r w:rsidRPr="00C23EC5">
        <w:rPr>
          <w:color w:val="auto"/>
        </w:rPr>
        <w:t>Abgabe</w:t>
      </w:r>
      <w:r w:rsidR="00E21E38" w:rsidRPr="00C23EC5">
        <w:rPr>
          <w:color w:val="auto"/>
        </w:rPr>
        <w:t xml:space="preserve"> von Willenserklärungen</w:t>
      </w:r>
    </w:p>
    <w:p w14:paraId="1526D404" w14:textId="7070BB33" w:rsidR="00D561B3" w:rsidRDefault="00C23EC5" w:rsidP="000C4B67">
      <w:pPr>
        <w:pStyle w:val="SchemaDefinitionenHeader"/>
        <w:ind w:left="2124" w:firstLine="6"/>
        <w:rPr>
          <w:color w:val="auto"/>
        </w:rPr>
      </w:pPr>
      <w:r w:rsidRPr="00C23EC5">
        <w:rPr>
          <w:color w:val="auto"/>
        </w:rPr>
        <w:t xml:space="preserve">Eine empfangsbedürftige Willenserklärung ist </w:t>
      </w:r>
      <w:r w:rsidRPr="00F16091">
        <w:rPr>
          <w:i/>
          <w:iCs/>
          <w:color w:val="auto"/>
        </w:rPr>
        <w:t>abgegeben</w:t>
      </w:r>
      <w:r w:rsidRPr="00C23EC5">
        <w:rPr>
          <w:color w:val="auto"/>
        </w:rPr>
        <w:t>, wenn sie willentlich in Richtung des Empfängers auf den Weg gebracht wird, so dass bei einem ungestörten Ablauf der Dinge mit dem Zugang gerechnet werden kann.</w:t>
      </w:r>
    </w:p>
    <w:p w14:paraId="2FCA8FAF" w14:textId="77777777" w:rsidR="001549F9" w:rsidRPr="000C4B67" w:rsidRDefault="001549F9" w:rsidP="000C4B67">
      <w:pPr>
        <w:pStyle w:val="SchemaDefinitionenHeader"/>
        <w:ind w:left="2124" w:firstLine="6"/>
        <w:rPr>
          <w:color w:val="auto"/>
        </w:rPr>
      </w:pPr>
    </w:p>
    <w:p w14:paraId="4F8F8DF8" w14:textId="1F1F770C" w:rsidR="00C23EC5" w:rsidRPr="00F16091" w:rsidRDefault="00C23EC5" w:rsidP="00C23EC5">
      <w:pPr>
        <w:pStyle w:val="SchemaDefinitionenHeader"/>
        <w:rPr>
          <w:color w:val="auto"/>
        </w:rPr>
      </w:pPr>
      <w:r w:rsidRPr="00F16091">
        <w:rPr>
          <w:color w:val="auto"/>
        </w:rPr>
        <w:t>Zugang von Willenserklärungen</w:t>
      </w:r>
    </w:p>
    <w:p w14:paraId="18D6743A" w14:textId="5479BBE5" w:rsidR="00A7211A" w:rsidRDefault="00F16091" w:rsidP="00F16091">
      <w:pPr>
        <w:pStyle w:val="SchemaDefinitionenHeader"/>
        <w:ind w:left="2124" w:firstLine="6"/>
        <w:rPr>
          <w:color w:val="auto"/>
        </w:rPr>
      </w:pPr>
      <w:r w:rsidRPr="00F16091">
        <w:rPr>
          <w:color w:val="auto"/>
        </w:rPr>
        <w:t xml:space="preserve">Eine empfangsbedürftige Willenserklärung ist </w:t>
      </w:r>
      <w:r w:rsidRPr="00F16091">
        <w:rPr>
          <w:i/>
          <w:iCs/>
          <w:color w:val="auto"/>
        </w:rPr>
        <w:t>zugegangen</w:t>
      </w:r>
      <w:r w:rsidRPr="00F16091">
        <w:rPr>
          <w:color w:val="auto"/>
        </w:rPr>
        <w:t>, wenn sie so in die Sphäre des Empfängers gelangt ist, dass unter normalen Umständen mit der Möglichkeit der Kenntnisnahme durch den Empfänger gerechnet werden kann.</w:t>
      </w:r>
    </w:p>
    <w:p w14:paraId="5D2A28B7" w14:textId="77777777" w:rsidR="00394150" w:rsidRPr="00F16091" w:rsidRDefault="00394150" w:rsidP="00F16091">
      <w:pPr>
        <w:pStyle w:val="SchemaDefinitionenHeader"/>
        <w:ind w:left="2124" w:firstLine="6"/>
        <w:rPr>
          <w:color w:val="auto"/>
        </w:rPr>
      </w:pPr>
    </w:p>
    <w:p w14:paraId="789F5D63" w14:textId="77777777" w:rsidR="00C23EC5" w:rsidRDefault="00C23EC5" w:rsidP="00C23EC5">
      <w:pPr>
        <w:pStyle w:val="SchemaDefinitionenHeader"/>
        <w:rPr>
          <w:color w:val="auto"/>
        </w:rPr>
      </w:pPr>
      <w:r w:rsidRPr="002C5086">
        <w:rPr>
          <w:color w:val="auto"/>
        </w:rPr>
        <w:t>Nichtempfangsbedürftige Willenserklärungen</w:t>
      </w:r>
    </w:p>
    <w:p w14:paraId="14CE97FA" w14:textId="77777777" w:rsidR="00C23EC5" w:rsidRDefault="00C23EC5" w:rsidP="00C23EC5">
      <w:pPr>
        <w:pStyle w:val="SchemaDefinitionenHeader"/>
        <w:ind w:left="2124" w:firstLine="6"/>
        <w:rPr>
          <w:color w:val="auto"/>
        </w:rPr>
      </w:pPr>
      <w:r w:rsidRPr="006A58EF">
        <w:rPr>
          <w:i/>
          <w:iCs/>
          <w:color w:val="auto"/>
        </w:rPr>
        <w:t>Nichtempfangsbedürftige Willenserklärungen</w:t>
      </w:r>
      <w:r>
        <w:rPr>
          <w:color w:val="auto"/>
        </w:rPr>
        <w:t xml:space="preserve"> werden mit der Abgabe wirksam (z.B. Auslobung nach § 657 BGB oder Aufsetzen eines Testaments nach §§ 1937, 2247 BGB). </w:t>
      </w:r>
    </w:p>
    <w:p w14:paraId="54A912C8" w14:textId="77777777" w:rsidR="00C23EC5" w:rsidRDefault="00C23EC5" w:rsidP="00C23EC5">
      <w:pPr>
        <w:pStyle w:val="SchemaDefinitionenHeader"/>
        <w:rPr>
          <w:color w:val="auto"/>
        </w:rPr>
      </w:pPr>
    </w:p>
    <w:p w14:paraId="75426F00" w14:textId="77777777" w:rsidR="00C23EC5" w:rsidRDefault="00C23EC5" w:rsidP="00C23EC5">
      <w:pPr>
        <w:pStyle w:val="SchemaDefinitionenHeader"/>
        <w:rPr>
          <w:color w:val="auto"/>
        </w:rPr>
      </w:pPr>
      <w:r>
        <w:rPr>
          <w:color w:val="auto"/>
        </w:rPr>
        <w:t>Empfangsbedürftige Willenserklärungen</w:t>
      </w:r>
    </w:p>
    <w:p w14:paraId="10A945DE" w14:textId="77777777" w:rsidR="00C23EC5" w:rsidRDefault="00C23EC5" w:rsidP="00C23EC5">
      <w:pPr>
        <w:pStyle w:val="SchemaDefinitionenHeader"/>
        <w:ind w:left="2124" w:firstLine="6"/>
        <w:rPr>
          <w:color w:val="auto"/>
        </w:rPr>
      </w:pPr>
      <w:r w:rsidRPr="006A58EF">
        <w:rPr>
          <w:i/>
          <w:iCs/>
          <w:color w:val="auto"/>
        </w:rPr>
        <w:t>Empfangsbedürftige Willenserklärungen</w:t>
      </w:r>
      <w:r>
        <w:rPr>
          <w:color w:val="auto"/>
        </w:rPr>
        <w:t xml:space="preserve"> sind einer anderen Person gegenüber abzugeben, müssen dieser zugehen und diese Person muss die Erklärung wahrnehmen (z.B. Vertragsangebots- bzw. annahmeerklärung, Kündigungserklärung …).</w:t>
      </w:r>
    </w:p>
    <w:p w14:paraId="174B3558" w14:textId="532E44BC" w:rsidR="005A1B6D" w:rsidRPr="00CF6B64" w:rsidRDefault="005A1B6D" w:rsidP="005A1B6D">
      <w:pPr>
        <w:jc w:val="both"/>
        <w:rPr>
          <w:rFonts w:ascii="Open Sans" w:hAnsi="Open Sans" w:cs="Open Sans"/>
          <w:bCs/>
          <w:highlight w:val="yellow"/>
        </w:rPr>
      </w:pPr>
    </w:p>
    <w:p w14:paraId="4EB857CF" w14:textId="77777777" w:rsidR="00B84BCB" w:rsidRDefault="00B84BCB" w:rsidP="005A1B6D">
      <w:pPr>
        <w:jc w:val="both"/>
        <w:rPr>
          <w:rFonts w:ascii="Open Sans" w:hAnsi="Open Sans" w:cs="Open Sans"/>
          <w:bCs/>
        </w:rPr>
      </w:pPr>
    </w:p>
    <w:p w14:paraId="4C5D6B53" w14:textId="77777777" w:rsidR="00B84BCB" w:rsidRDefault="00B84BCB" w:rsidP="005A1B6D">
      <w:pPr>
        <w:jc w:val="both"/>
        <w:rPr>
          <w:rFonts w:ascii="Open Sans" w:hAnsi="Open Sans" w:cs="Open Sans"/>
          <w:bCs/>
        </w:rPr>
      </w:pPr>
    </w:p>
    <w:p w14:paraId="310FC4DA" w14:textId="110D7565" w:rsidR="00CF6B64" w:rsidRPr="00D3490D" w:rsidRDefault="00CF6B64" w:rsidP="005A1B6D">
      <w:pPr>
        <w:jc w:val="both"/>
        <w:rPr>
          <w:rFonts w:ascii="Open Sans" w:hAnsi="Open Sans" w:cs="Open Sans"/>
          <w:bCs/>
        </w:rPr>
      </w:pPr>
      <w:r w:rsidRPr="00D3490D">
        <w:rPr>
          <w:rFonts w:ascii="Open Sans" w:hAnsi="Open Sans" w:cs="Open Sans"/>
          <w:bCs/>
        </w:rPr>
        <w:lastRenderedPageBreak/>
        <w:t>Realakt</w:t>
      </w:r>
    </w:p>
    <w:p w14:paraId="355F133E" w14:textId="46C3A8EA" w:rsidR="00D3490D" w:rsidRPr="00D3490D" w:rsidRDefault="00F16091" w:rsidP="00D3490D">
      <w:pPr>
        <w:ind w:left="2124" w:firstLine="6"/>
        <w:jc w:val="both"/>
        <w:rPr>
          <w:rFonts w:ascii="Open Sans" w:hAnsi="Open Sans" w:cs="Open Sans"/>
          <w:bCs/>
        </w:rPr>
      </w:pPr>
      <w:r w:rsidRPr="00D3490D">
        <w:rPr>
          <w:rFonts w:ascii="Open Sans" w:hAnsi="Open Sans" w:cs="Open Sans"/>
          <w:bCs/>
        </w:rPr>
        <w:t xml:space="preserve">Ein </w:t>
      </w:r>
      <w:r w:rsidRPr="00D561B3">
        <w:rPr>
          <w:rFonts w:ascii="Open Sans" w:hAnsi="Open Sans" w:cs="Open Sans"/>
          <w:bCs/>
          <w:i/>
          <w:iCs/>
        </w:rPr>
        <w:t>Realakt</w:t>
      </w:r>
      <w:r w:rsidR="00D3490D" w:rsidRPr="00D561B3">
        <w:rPr>
          <w:rFonts w:ascii="Open Sans" w:hAnsi="Open Sans" w:cs="Open Sans"/>
          <w:bCs/>
          <w:i/>
          <w:iCs/>
        </w:rPr>
        <w:t xml:space="preserve"> </w:t>
      </w:r>
      <w:r w:rsidR="00D3490D" w:rsidRPr="00D3490D">
        <w:rPr>
          <w:rFonts w:ascii="Open Sans" w:hAnsi="Open Sans" w:cs="Open Sans"/>
          <w:bCs/>
        </w:rPr>
        <w:t>ist eine Willensbetätigung rein tatsächlicher Art, welche kraft Gesetzes (!)</w:t>
      </w:r>
      <w:r w:rsidR="00B84BCB">
        <w:rPr>
          <w:rFonts w:ascii="Open Sans" w:hAnsi="Open Sans" w:cs="Open Sans"/>
          <w:bCs/>
        </w:rPr>
        <w:t xml:space="preserve"> </w:t>
      </w:r>
      <w:r w:rsidR="00D3490D" w:rsidRPr="00D3490D">
        <w:rPr>
          <w:rFonts w:ascii="Open Sans" w:hAnsi="Open Sans" w:cs="Open Sans"/>
          <w:bCs/>
        </w:rPr>
        <w:t>und – anders als bei der Willenserklärung – gerade nicht kraft übereinstimmenden Willens</w:t>
      </w:r>
      <w:r w:rsidR="00B84BCB">
        <w:rPr>
          <w:rFonts w:ascii="Open Sans" w:hAnsi="Open Sans" w:cs="Open Sans"/>
          <w:bCs/>
        </w:rPr>
        <w:t xml:space="preserve"> </w:t>
      </w:r>
      <w:r w:rsidR="00B84BCB" w:rsidRPr="00D3490D">
        <w:rPr>
          <w:rFonts w:ascii="Open Sans" w:hAnsi="Open Sans" w:cs="Open Sans"/>
          <w:bCs/>
        </w:rPr>
        <w:t>eine Rechtsfolge auslöst</w:t>
      </w:r>
      <w:r w:rsidR="00D3490D" w:rsidRPr="00D3490D">
        <w:rPr>
          <w:rFonts w:ascii="Open Sans" w:hAnsi="Open Sans" w:cs="Open Sans"/>
          <w:bCs/>
        </w:rPr>
        <w:t xml:space="preserve">. Es handelt sich dabei also um eine einfache Tathandlung und nicht um eine Erklärung, weshalb die Vorschriften über Rechtsgeschäfte (mithin auch die Regeln zur Geschäftsfähigkeit, Anfechtung etc.) keine Anwendung finden. </w:t>
      </w:r>
    </w:p>
    <w:p w14:paraId="7AD94894" w14:textId="310029EE" w:rsidR="00CF6B64" w:rsidRPr="00D3490D" w:rsidRDefault="00D3490D" w:rsidP="00D3490D">
      <w:pPr>
        <w:ind w:left="2124" w:firstLine="6"/>
        <w:jc w:val="both"/>
        <w:rPr>
          <w:rFonts w:ascii="Open Sans" w:hAnsi="Open Sans" w:cs="Open Sans"/>
          <w:bCs/>
        </w:rPr>
      </w:pPr>
      <w:r w:rsidRPr="00DA4AEE">
        <w:rPr>
          <w:rFonts w:ascii="Open Sans" w:hAnsi="Open Sans" w:cs="Open Sans"/>
          <w:bCs/>
          <w:i/>
          <w:iCs/>
        </w:rPr>
        <w:t>Bsp.:</w:t>
      </w:r>
      <w:r w:rsidRPr="00D3490D">
        <w:rPr>
          <w:rFonts w:ascii="Open Sans" w:hAnsi="Open Sans" w:cs="Open Sans"/>
          <w:bCs/>
        </w:rPr>
        <w:t xml:space="preserve"> Übergabe der Sache im Rahmen der Eigentumsübertragung nach § 929 I BGB, Besitzerwerb nach § 854 BGB, Verbindung und Vermischung nach §§ 946 ff. BGB</w:t>
      </w:r>
    </w:p>
    <w:p w14:paraId="570A4607" w14:textId="77777777" w:rsidR="00D3490D" w:rsidRPr="00CF6B64" w:rsidRDefault="00D3490D" w:rsidP="005A1B6D">
      <w:pPr>
        <w:jc w:val="both"/>
        <w:rPr>
          <w:rFonts w:ascii="Open Sans" w:hAnsi="Open Sans" w:cs="Open Sans"/>
          <w:bCs/>
          <w:highlight w:val="yellow"/>
        </w:rPr>
      </w:pPr>
    </w:p>
    <w:p w14:paraId="731AE67C" w14:textId="36A5811C" w:rsidR="00CF6B64" w:rsidRPr="00394150" w:rsidRDefault="00CF6B64" w:rsidP="005A1B6D">
      <w:pPr>
        <w:jc w:val="both"/>
        <w:rPr>
          <w:rFonts w:ascii="Open Sans" w:hAnsi="Open Sans" w:cs="Open Sans"/>
          <w:bCs/>
        </w:rPr>
      </w:pPr>
      <w:r w:rsidRPr="00394150">
        <w:rPr>
          <w:rFonts w:ascii="Open Sans" w:hAnsi="Open Sans" w:cs="Open Sans"/>
          <w:bCs/>
        </w:rPr>
        <w:t>Geschäftsähnliche Handlung</w:t>
      </w:r>
    </w:p>
    <w:p w14:paraId="3B4A2EC9" w14:textId="34E6044B" w:rsidR="005A1B6D" w:rsidRPr="00394150" w:rsidRDefault="00D3490D" w:rsidP="00394150">
      <w:pPr>
        <w:ind w:left="2124" w:firstLine="6"/>
        <w:jc w:val="both"/>
        <w:rPr>
          <w:rFonts w:ascii="Open Sans" w:hAnsi="Open Sans" w:cs="Open Sans"/>
          <w:bCs/>
        </w:rPr>
      </w:pPr>
      <w:r w:rsidRPr="00394150">
        <w:rPr>
          <w:rFonts w:ascii="Open Sans" w:hAnsi="Open Sans" w:cs="Open Sans"/>
          <w:bCs/>
        </w:rPr>
        <w:t xml:space="preserve">Eine </w:t>
      </w:r>
      <w:r w:rsidRPr="00D561B3">
        <w:rPr>
          <w:rFonts w:ascii="Open Sans" w:hAnsi="Open Sans" w:cs="Open Sans"/>
          <w:bCs/>
          <w:i/>
          <w:iCs/>
        </w:rPr>
        <w:t>geschäftsähnliche Handlung</w:t>
      </w:r>
      <w:r w:rsidRPr="00394150">
        <w:rPr>
          <w:rFonts w:ascii="Open Sans" w:hAnsi="Open Sans" w:cs="Open Sans"/>
          <w:bCs/>
        </w:rPr>
        <w:t xml:space="preserve"> ist eine Erklärung, die auf einen tatsächlichen Erfolg gerichtet ist und eine Rechtsfolge </w:t>
      </w:r>
      <w:r w:rsidR="00394150" w:rsidRPr="00394150">
        <w:rPr>
          <w:rFonts w:ascii="Open Sans" w:hAnsi="Open Sans" w:cs="Open Sans"/>
          <w:bCs/>
        </w:rPr>
        <w:t>kraft Gesetzes</w:t>
      </w:r>
      <w:r w:rsidRPr="00394150">
        <w:rPr>
          <w:rFonts w:ascii="Open Sans" w:hAnsi="Open Sans" w:cs="Open Sans"/>
          <w:bCs/>
        </w:rPr>
        <w:t xml:space="preserve"> eintreten </w:t>
      </w:r>
      <w:r w:rsidR="00394150" w:rsidRPr="00394150">
        <w:rPr>
          <w:rFonts w:ascii="Open Sans" w:hAnsi="Open Sans" w:cs="Open Sans"/>
          <w:bCs/>
        </w:rPr>
        <w:t xml:space="preserve">lässt, und zwar unabhängig davon, ob diese Rechtsfolge gewollt ist oder nicht. </w:t>
      </w:r>
      <w:r w:rsidR="00B84BCB">
        <w:rPr>
          <w:rFonts w:ascii="Open Sans" w:hAnsi="Open Sans" w:cs="Open Sans"/>
          <w:bCs/>
        </w:rPr>
        <w:t xml:space="preserve">Die </w:t>
      </w:r>
      <w:r w:rsidR="00394150" w:rsidRPr="00394150">
        <w:rPr>
          <w:rFonts w:ascii="Open Sans" w:hAnsi="Open Sans" w:cs="Open Sans"/>
          <w:bCs/>
        </w:rPr>
        <w:t>Vorschriften über Rechtsgeschäfte finden analog Anwendung.</w:t>
      </w:r>
    </w:p>
    <w:p w14:paraId="37BBA241" w14:textId="504AE439" w:rsidR="00394150" w:rsidRPr="00394150" w:rsidRDefault="00394150" w:rsidP="00394150">
      <w:pPr>
        <w:ind w:left="2124" w:firstLine="6"/>
        <w:jc w:val="both"/>
        <w:rPr>
          <w:rFonts w:ascii="Open Sans" w:hAnsi="Open Sans" w:cs="Open Sans"/>
          <w:bCs/>
        </w:rPr>
      </w:pPr>
      <w:r w:rsidRPr="00DA4AEE">
        <w:rPr>
          <w:rFonts w:ascii="Open Sans" w:hAnsi="Open Sans" w:cs="Open Sans"/>
          <w:bCs/>
          <w:i/>
          <w:iCs/>
        </w:rPr>
        <w:t>Bsp.:</w:t>
      </w:r>
      <w:r w:rsidRPr="00394150">
        <w:rPr>
          <w:rFonts w:ascii="Open Sans" w:hAnsi="Open Sans" w:cs="Open Sans"/>
          <w:bCs/>
        </w:rPr>
        <w:t xml:space="preserve"> Fristsetzung nach § 281 I S. 1 BGB, Verlangen von Schadensersatz, Kaufmännisches Bestätigungsschreiben</w:t>
      </w:r>
      <w:r w:rsidR="004B2F08">
        <w:rPr>
          <w:rFonts w:ascii="Open Sans" w:hAnsi="Open Sans" w:cs="Open Sans"/>
          <w:bCs/>
        </w:rPr>
        <w:t>, Mahnung</w:t>
      </w:r>
    </w:p>
    <w:p w14:paraId="2A0CD0C0" w14:textId="77777777" w:rsidR="00394150" w:rsidRPr="00CF6B64" w:rsidRDefault="00394150" w:rsidP="00394150">
      <w:pPr>
        <w:ind w:left="2124" w:firstLine="6"/>
        <w:jc w:val="both"/>
        <w:rPr>
          <w:rFonts w:ascii="Open Sans" w:hAnsi="Open Sans" w:cs="Open Sans"/>
          <w:bCs/>
          <w:highlight w:val="yellow"/>
        </w:rPr>
      </w:pPr>
    </w:p>
    <w:p w14:paraId="43E21A04" w14:textId="2A92FAD5" w:rsidR="00CF6B64" w:rsidRPr="00D561B3" w:rsidRDefault="00CF6B64" w:rsidP="005A1B6D">
      <w:pPr>
        <w:jc w:val="both"/>
        <w:rPr>
          <w:rFonts w:ascii="Open Sans" w:hAnsi="Open Sans" w:cs="Open Sans"/>
          <w:bCs/>
        </w:rPr>
      </w:pPr>
      <w:r w:rsidRPr="00D561B3">
        <w:rPr>
          <w:rFonts w:ascii="Open Sans" w:hAnsi="Open Sans" w:cs="Open Sans"/>
          <w:bCs/>
        </w:rPr>
        <w:t>Trennungs- und Abstraktionsprinzip</w:t>
      </w:r>
    </w:p>
    <w:p w14:paraId="66461738" w14:textId="046C9FCA" w:rsidR="00F647A6" w:rsidRDefault="00D561B3" w:rsidP="00D561B3">
      <w:pPr>
        <w:ind w:left="2124" w:firstLine="6"/>
        <w:jc w:val="both"/>
        <w:rPr>
          <w:rFonts w:ascii="Open Sans" w:hAnsi="Open Sans" w:cs="Open Sans"/>
          <w:bCs/>
        </w:rPr>
      </w:pPr>
      <w:r w:rsidRPr="00D561B3">
        <w:rPr>
          <w:rFonts w:ascii="Open Sans" w:hAnsi="Open Sans" w:cs="Open Sans"/>
          <w:bCs/>
        </w:rPr>
        <w:t xml:space="preserve">Das </w:t>
      </w:r>
      <w:r w:rsidRPr="00D561B3">
        <w:rPr>
          <w:rFonts w:ascii="Open Sans" w:hAnsi="Open Sans" w:cs="Open Sans"/>
          <w:bCs/>
          <w:i/>
          <w:iCs/>
        </w:rPr>
        <w:t>Trennungs- und Abstraktionsprinzip</w:t>
      </w:r>
      <w:r w:rsidRPr="00D561B3">
        <w:rPr>
          <w:rFonts w:ascii="Open Sans" w:hAnsi="Open Sans" w:cs="Open Sans"/>
          <w:bCs/>
        </w:rPr>
        <w:t xml:space="preserve"> besagt, dass das Verpflichtungsgeschäft </w:t>
      </w:r>
      <w:r w:rsidR="00F647A6">
        <w:rPr>
          <w:rFonts w:ascii="Open Sans" w:hAnsi="Open Sans" w:cs="Open Sans"/>
          <w:bCs/>
        </w:rPr>
        <w:t>und Verfügungsgeschäft getrennte rechtliche Vorgänge (Trennungsprinzip)</w:t>
      </w:r>
      <w:r w:rsidRPr="00D561B3">
        <w:rPr>
          <w:rFonts w:ascii="Open Sans" w:hAnsi="Open Sans" w:cs="Open Sans"/>
          <w:bCs/>
        </w:rPr>
        <w:t xml:space="preserve"> und in </w:t>
      </w:r>
      <w:r w:rsidR="00F647A6">
        <w:rPr>
          <w:rFonts w:ascii="Open Sans" w:hAnsi="Open Sans" w:cs="Open Sans"/>
          <w:bCs/>
        </w:rPr>
        <w:t xml:space="preserve">ihrer </w:t>
      </w:r>
      <w:r w:rsidRPr="00D561B3">
        <w:rPr>
          <w:rFonts w:ascii="Open Sans" w:hAnsi="Open Sans" w:cs="Open Sans"/>
          <w:bCs/>
        </w:rPr>
        <w:t>Wirksamkeit unabhängig</w:t>
      </w:r>
      <w:r w:rsidR="00B84BCB">
        <w:rPr>
          <w:rFonts w:ascii="Open Sans" w:hAnsi="Open Sans" w:cs="Open Sans"/>
          <w:bCs/>
        </w:rPr>
        <w:t xml:space="preserve"> sind</w:t>
      </w:r>
      <w:r w:rsidR="00F647A6">
        <w:rPr>
          <w:rFonts w:ascii="Open Sans" w:hAnsi="Open Sans" w:cs="Open Sans"/>
          <w:bCs/>
        </w:rPr>
        <w:t xml:space="preserve">, mithin eine Unwirksamkeit des Verpflichtungsgeschäfts </w:t>
      </w:r>
      <w:r w:rsidR="00B84BCB">
        <w:rPr>
          <w:rFonts w:ascii="Open Sans" w:hAnsi="Open Sans" w:cs="Open Sans"/>
          <w:bCs/>
        </w:rPr>
        <w:t xml:space="preserve">die </w:t>
      </w:r>
      <w:r w:rsidR="00F647A6">
        <w:rPr>
          <w:rFonts w:ascii="Open Sans" w:hAnsi="Open Sans" w:cs="Open Sans"/>
          <w:bCs/>
        </w:rPr>
        <w:t>Wirksamkeit des Verfügungsgeschäfts nicht berührt und umgekehrt (Abstraktionsprinzip)</w:t>
      </w:r>
      <w:r w:rsidRPr="00D561B3">
        <w:rPr>
          <w:rFonts w:ascii="Open Sans" w:hAnsi="Open Sans" w:cs="Open Sans"/>
          <w:bCs/>
        </w:rPr>
        <w:t>.</w:t>
      </w:r>
      <w:r>
        <w:rPr>
          <w:rFonts w:ascii="Open Sans" w:hAnsi="Open Sans" w:cs="Open Sans"/>
          <w:bCs/>
        </w:rPr>
        <w:t xml:space="preserve"> </w:t>
      </w:r>
    </w:p>
    <w:p w14:paraId="509A7F56" w14:textId="16D60CA5" w:rsidR="00F647A6" w:rsidRDefault="00F647A6" w:rsidP="00D561B3">
      <w:pPr>
        <w:ind w:left="2124" w:firstLine="6"/>
        <w:jc w:val="both"/>
        <w:rPr>
          <w:rFonts w:ascii="Open Sans" w:hAnsi="Open Sans" w:cs="Open Sans"/>
          <w:bCs/>
        </w:rPr>
      </w:pPr>
      <w:r w:rsidRPr="00DA4AEE">
        <w:rPr>
          <w:rFonts w:ascii="Open Sans" w:hAnsi="Open Sans" w:cs="Open Sans"/>
          <w:bCs/>
          <w:i/>
          <w:iCs/>
        </w:rPr>
        <w:t>Bsp.:</w:t>
      </w:r>
      <w:r>
        <w:rPr>
          <w:rFonts w:ascii="Open Sans" w:hAnsi="Open Sans" w:cs="Open Sans"/>
          <w:bCs/>
        </w:rPr>
        <w:t xml:space="preserve"> A und B einigen sich, dass A dem B sein neues IPhone verkauft (</w:t>
      </w:r>
      <w:r w:rsidR="00DA4AEE">
        <w:rPr>
          <w:rFonts w:ascii="Open Sans" w:hAnsi="Open Sans" w:cs="Open Sans"/>
          <w:bCs/>
        </w:rPr>
        <w:t>1</w:t>
      </w:r>
      <w:r>
        <w:rPr>
          <w:rFonts w:ascii="Open Sans" w:hAnsi="Open Sans" w:cs="Open Sans"/>
          <w:bCs/>
        </w:rPr>
        <w:t xml:space="preserve"> Verpflichtungsgeschäft). Danach übergibt </w:t>
      </w:r>
      <w:r w:rsidR="00DA4AEE">
        <w:rPr>
          <w:rFonts w:ascii="Open Sans" w:hAnsi="Open Sans" w:cs="Open Sans"/>
          <w:bCs/>
        </w:rPr>
        <w:t xml:space="preserve">und übereignet </w:t>
      </w:r>
      <w:r>
        <w:rPr>
          <w:rFonts w:ascii="Open Sans" w:hAnsi="Open Sans" w:cs="Open Sans"/>
          <w:bCs/>
        </w:rPr>
        <w:t>der A dem B das Handy und der B dem A das vereinbarte Geld (</w:t>
      </w:r>
      <w:r w:rsidR="00B84BCB">
        <w:rPr>
          <w:rFonts w:ascii="Open Sans" w:hAnsi="Open Sans" w:cs="Open Sans"/>
          <w:bCs/>
        </w:rPr>
        <w:t xml:space="preserve">insg. </w:t>
      </w:r>
      <w:r w:rsidR="00DA4AEE">
        <w:rPr>
          <w:rFonts w:ascii="Open Sans" w:hAnsi="Open Sans" w:cs="Open Sans"/>
          <w:bCs/>
        </w:rPr>
        <w:t>2</w:t>
      </w:r>
      <w:r>
        <w:rPr>
          <w:rFonts w:ascii="Open Sans" w:hAnsi="Open Sans" w:cs="Open Sans"/>
          <w:bCs/>
        </w:rPr>
        <w:t xml:space="preserve"> Verfügungsgeschäfte). Am nächsten Tag ficht der A den Kaufvertrag erfolgreich an, weshalb die Wirkung des § 142 BGB den Kaufvertrag, mithin das Verpflichtungsgeschäft erloschen lässt. Trotzdem bleibt A nun weiter Eigentümer des Geldes und B Eigentümer des Handys. In Folge ist § 812 BGB anzuwenden.</w:t>
      </w:r>
    </w:p>
    <w:p w14:paraId="04791E45" w14:textId="77777777" w:rsidR="00D561B3" w:rsidRPr="00CF6B64" w:rsidRDefault="00D561B3" w:rsidP="005A1B6D">
      <w:pPr>
        <w:jc w:val="both"/>
        <w:rPr>
          <w:rFonts w:ascii="Open Sans" w:hAnsi="Open Sans" w:cs="Open Sans"/>
          <w:bCs/>
          <w:highlight w:val="yellow"/>
        </w:rPr>
      </w:pPr>
    </w:p>
    <w:p w14:paraId="13185C60" w14:textId="2C242E39" w:rsidR="00CF6B64" w:rsidRPr="00D561B3" w:rsidRDefault="00CF6B64" w:rsidP="005A1B6D">
      <w:pPr>
        <w:jc w:val="both"/>
        <w:rPr>
          <w:rFonts w:ascii="Open Sans" w:hAnsi="Open Sans" w:cs="Open Sans"/>
          <w:bCs/>
        </w:rPr>
      </w:pPr>
      <w:r w:rsidRPr="00D561B3">
        <w:rPr>
          <w:rFonts w:ascii="Open Sans" w:hAnsi="Open Sans" w:cs="Open Sans"/>
          <w:bCs/>
        </w:rPr>
        <w:lastRenderedPageBreak/>
        <w:t>Verpflichtungsgeschäft/Kausalgeschäft</w:t>
      </w:r>
    </w:p>
    <w:p w14:paraId="030E195A" w14:textId="141E8EC0" w:rsidR="00D561B3" w:rsidRPr="00D561B3" w:rsidRDefault="00D561B3" w:rsidP="00D561B3">
      <w:pPr>
        <w:ind w:left="2124" w:firstLine="6"/>
        <w:jc w:val="both"/>
        <w:rPr>
          <w:rFonts w:ascii="Open Sans" w:hAnsi="Open Sans" w:cs="Open Sans"/>
          <w:bCs/>
        </w:rPr>
      </w:pPr>
      <w:r w:rsidRPr="00D561B3">
        <w:rPr>
          <w:rFonts w:ascii="Open Sans" w:hAnsi="Open Sans" w:cs="Open Sans"/>
          <w:bCs/>
        </w:rPr>
        <w:t xml:space="preserve">Das </w:t>
      </w:r>
      <w:r w:rsidRPr="00D561B3">
        <w:rPr>
          <w:rFonts w:ascii="Open Sans" w:hAnsi="Open Sans" w:cs="Open Sans"/>
          <w:bCs/>
          <w:i/>
          <w:iCs/>
        </w:rPr>
        <w:t>Verpflichtungsgeschäft</w:t>
      </w:r>
      <w:r w:rsidRPr="00D561B3">
        <w:rPr>
          <w:rFonts w:ascii="Open Sans" w:hAnsi="Open Sans" w:cs="Open Sans"/>
          <w:bCs/>
        </w:rPr>
        <w:t xml:space="preserve"> als Kausalgeschäft bildet den Rechtsgrund (sog. causa) für das Verfügungsgeschäft und entsteht dadurch, dass </w:t>
      </w:r>
      <w:r>
        <w:rPr>
          <w:rFonts w:ascii="Open Sans" w:hAnsi="Open Sans" w:cs="Open Sans"/>
          <w:bCs/>
        </w:rPr>
        <w:t xml:space="preserve">sich </w:t>
      </w:r>
      <w:r w:rsidRPr="00D561B3">
        <w:rPr>
          <w:rFonts w:ascii="Open Sans" w:hAnsi="Open Sans" w:cs="Open Sans"/>
          <w:bCs/>
        </w:rPr>
        <w:t>eine Person gegenüber einer anderen Person zu der Übernahme einer Leistung verpflichtet.</w:t>
      </w:r>
    </w:p>
    <w:p w14:paraId="38A9FC8E" w14:textId="0701D87F" w:rsidR="00D561B3" w:rsidRPr="00D561B3" w:rsidRDefault="00D561B3" w:rsidP="00D561B3">
      <w:pPr>
        <w:ind w:left="2124" w:firstLine="6"/>
        <w:jc w:val="both"/>
        <w:rPr>
          <w:rFonts w:ascii="Open Sans" w:hAnsi="Open Sans" w:cs="Open Sans"/>
          <w:bCs/>
        </w:rPr>
      </w:pPr>
      <w:r w:rsidRPr="00DA4AEE">
        <w:rPr>
          <w:rFonts w:ascii="Open Sans" w:hAnsi="Open Sans" w:cs="Open Sans"/>
          <w:bCs/>
          <w:i/>
          <w:iCs/>
        </w:rPr>
        <w:t>Bsp.:</w:t>
      </w:r>
      <w:r w:rsidRPr="00D561B3">
        <w:rPr>
          <w:rFonts w:ascii="Open Sans" w:hAnsi="Open Sans" w:cs="Open Sans"/>
          <w:bCs/>
        </w:rPr>
        <w:t xml:space="preserve"> Kaufvertrag nach § 433 BGB, Mietvertrag nach § 535 BGB …</w:t>
      </w:r>
    </w:p>
    <w:p w14:paraId="6A72F0CB" w14:textId="568C7E0D" w:rsidR="00CF6B64" w:rsidRPr="00CF6B64" w:rsidRDefault="00CF6B64" w:rsidP="005A1B6D">
      <w:pPr>
        <w:jc w:val="both"/>
        <w:rPr>
          <w:rFonts w:ascii="Open Sans" w:hAnsi="Open Sans" w:cs="Open Sans"/>
          <w:bCs/>
          <w:highlight w:val="yellow"/>
        </w:rPr>
      </w:pPr>
    </w:p>
    <w:p w14:paraId="66CC9E8C" w14:textId="018CEB07" w:rsidR="00CF6B64" w:rsidRPr="005F0ED2" w:rsidRDefault="00CF6B64" w:rsidP="005A1B6D">
      <w:pPr>
        <w:jc w:val="both"/>
        <w:rPr>
          <w:rFonts w:ascii="Open Sans" w:hAnsi="Open Sans" w:cs="Open Sans"/>
          <w:bCs/>
        </w:rPr>
      </w:pPr>
      <w:r w:rsidRPr="005F0ED2">
        <w:rPr>
          <w:rFonts w:ascii="Open Sans" w:hAnsi="Open Sans" w:cs="Open Sans"/>
          <w:bCs/>
        </w:rPr>
        <w:t>Verfügungsgeschäft/Erfüllungsgeschäft</w:t>
      </w:r>
    </w:p>
    <w:p w14:paraId="16212F0E" w14:textId="00F7DF46" w:rsidR="00CF6B64" w:rsidRDefault="00D561B3" w:rsidP="005F0ED2">
      <w:pPr>
        <w:ind w:left="2124" w:firstLine="6"/>
        <w:jc w:val="both"/>
        <w:rPr>
          <w:rFonts w:ascii="Open Sans" w:hAnsi="Open Sans" w:cs="Open Sans"/>
          <w:bCs/>
        </w:rPr>
      </w:pPr>
      <w:r>
        <w:rPr>
          <w:rFonts w:ascii="Open Sans" w:hAnsi="Open Sans" w:cs="Open Sans"/>
          <w:bCs/>
        </w:rPr>
        <w:t xml:space="preserve">Das </w:t>
      </w:r>
      <w:r w:rsidRPr="005F0ED2">
        <w:rPr>
          <w:rFonts w:ascii="Open Sans" w:hAnsi="Open Sans" w:cs="Open Sans"/>
          <w:bCs/>
          <w:i/>
          <w:iCs/>
        </w:rPr>
        <w:t>Verfügungsgeschäft</w:t>
      </w:r>
      <w:r>
        <w:rPr>
          <w:rFonts w:ascii="Open Sans" w:hAnsi="Open Sans" w:cs="Open Sans"/>
          <w:bCs/>
        </w:rPr>
        <w:t xml:space="preserve"> als Erfüllungsgeschäft stellt ein Rechtsgeschäft dar</w:t>
      </w:r>
      <w:r w:rsidR="005F0ED2">
        <w:rPr>
          <w:rFonts w:ascii="Open Sans" w:hAnsi="Open Sans" w:cs="Open Sans"/>
          <w:bCs/>
        </w:rPr>
        <w:t>, durch das ein Recht unmittelbar übertragen, belastet, geändert oder aufgehoben wird.</w:t>
      </w:r>
    </w:p>
    <w:p w14:paraId="403D2BD1" w14:textId="421809B4" w:rsidR="005F0ED2" w:rsidRDefault="005F0ED2" w:rsidP="005F0ED2">
      <w:pPr>
        <w:ind w:left="2124" w:firstLine="6"/>
        <w:jc w:val="both"/>
        <w:rPr>
          <w:rFonts w:ascii="Open Sans" w:hAnsi="Open Sans" w:cs="Open Sans"/>
          <w:bCs/>
        </w:rPr>
      </w:pPr>
      <w:r w:rsidRPr="00DA4AEE">
        <w:rPr>
          <w:rFonts w:ascii="Open Sans" w:hAnsi="Open Sans" w:cs="Open Sans"/>
          <w:bCs/>
          <w:i/>
          <w:iCs/>
        </w:rPr>
        <w:t>Bsp.:</w:t>
      </w:r>
      <w:r>
        <w:rPr>
          <w:rFonts w:ascii="Open Sans" w:hAnsi="Open Sans" w:cs="Open Sans"/>
          <w:bCs/>
        </w:rPr>
        <w:t xml:space="preserve"> Übereignung des Eigentums an einer beweglichen Sache nach § 929 BGB, </w:t>
      </w:r>
      <w:r w:rsidR="0083366F">
        <w:rPr>
          <w:rFonts w:ascii="Open Sans" w:hAnsi="Open Sans" w:cs="Open Sans"/>
          <w:bCs/>
        </w:rPr>
        <w:t xml:space="preserve">Abtretungsvertrag, </w:t>
      </w:r>
      <w:r>
        <w:rPr>
          <w:rFonts w:ascii="Open Sans" w:hAnsi="Open Sans" w:cs="Open Sans"/>
          <w:bCs/>
        </w:rPr>
        <w:t>Belastung eines Grundstücks mit einer Hypothek, Aufhebung eines Rechts durch den Erlassvertrag nach § 397 BGB …</w:t>
      </w:r>
    </w:p>
    <w:p w14:paraId="410F625B" w14:textId="2CAFCA78" w:rsidR="00DA4AEE" w:rsidRDefault="00DA4AEE">
      <w:pPr>
        <w:rPr>
          <w:rFonts w:ascii="Open Sans" w:hAnsi="Open Sans" w:cs="Open Sans"/>
          <w:bCs/>
        </w:rPr>
      </w:pPr>
    </w:p>
    <w:p w14:paraId="165428E8" w14:textId="4FB3D56C" w:rsidR="00CF6B64" w:rsidRDefault="00F16091" w:rsidP="005A1B6D">
      <w:pPr>
        <w:jc w:val="both"/>
        <w:rPr>
          <w:rFonts w:ascii="Open Sans" w:hAnsi="Open Sans" w:cs="Open Sans"/>
          <w:bCs/>
        </w:rPr>
      </w:pPr>
      <w:r>
        <w:rPr>
          <w:rFonts w:ascii="Open Sans" w:hAnsi="Open Sans" w:cs="Open Sans"/>
          <w:bCs/>
        </w:rPr>
        <w:t>Anspruch</w:t>
      </w:r>
    </w:p>
    <w:p w14:paraId="63790508" w14:textId="4061D1AE" w:rsidR="00F16091" w:rsidRDefault="00F16091" w:rsidP="00F16091">
      <w:pPr>
        <w:ind w:left="2124" w:firstLine="6"/>
        <w:jc w:val="both"/>
        <w:rPr>
          <w:rFonts w:ascii="Open Sans" w:hAnsi="Open Sans" w:cs="Open Sans"/>
          <w:bCs/>
        </w:rPr>
      </w:pPr>
      <w:r>
        <w:rPr>
          <w:rFonts w:ascii="Open Sans" w:hAnsi="Open Sans" w:cs="Open Sans"/>
          <w:bCs/>
        </w:rPr>
        <w:t xml:space="preserve">Ein </w:t>
      </w:r>
      <w:r w:rsidRPr="00D561B3">
        <w:rPr>
          <w:rFonts w:ascii="Open Sans" w:hAnsi="Open Sans" w:cs="Open Sans"/>
          <w:bCs/>
          <w:i/>
          <w:iCs/>
        </w:rPr>
        <w:t>Anspruch</w:t>
      </w:r>
      <w:r>
        <w:rPr>
          <w:rFonts w:ascii="Open Sans" w:hAnsi="Open Sans" w:cs="Open Sans"/>
          <w:bCs/>
        </w:rPr>
        <w:t xml:space="preserve"> ist nach § 194 BGB das Recht, von einem anderen ein Tun oder Unterlassen zu fordern.</w:t>
      </w:r>
    </w:p>
    <w:p w14:paraId="32AF796B" w14:textId="01125F1D" w:rsidR="00F16091" w:rsidRDefault="00F16091" w:rsidP="005A1B6D">
      <w:pPr>
        <w:jc w:val="both"/>
        <w:rPr>
          <w:rFonts w:ascii="Open Sans" w:hAnsi="Open Sans" w:cs="Open Sans"/>
          <w:bCs/>
        </w:rPr>
      </w:pPr>
    </w:p>
    <w:p w14:paraId="38D783B3" w14:textId="0893F1DF" w:rsidR="000C4B67" w:rsidRDefault="000C4B67" w:rsidP="005A1B6D">
      <w:pPr>
        <w:jc w:val="both"/>
        <w:rPr>
          <w:rFonts w:ascii="Open Sans" w:hAnsi="Open Sans" w:cs="Open Sans"/>
          <w:bCs/>
        </w:rPr>
      </w:pPr>
      <w:r>
        <w:rPr>
          <w:rFonts w:ascii="Open Sans" w:hAnsi="Open Sans" w:cs="Open Sans"/>
          <w:bCs/>
        </w:rPr>
        <w:t>Anspruchsgrundlage</w:t>
      </w:r>
      <w:r>
        <w:rPr>
          <w:rFonts w:ascii="Open Sans" w:hAnsi="Open Sans" w:cs="Open Sans"/>
          <w:bCs/>
        </w:rPr>
        <w:tab/>
      </w:r>
    </w:p>
    <w:p w14:paraId="2D8A631B" w14:textId="77777777" w:rsidR="00CC2EA4" w:rsidRDefault="000C4B67" w:rsidP="000C4B67">
      <w:pPr>
        <w:ind w:left="2124" w:firstLine="6"/>
        <w:jc w:val="both"/>
        <w:rPr>
          <w:rFonts w:ascii="Open Sans" w:hAnsi="Open Sans" w:cs="Open Sans"/>
          <w:bCs/>
        </w:rPr>
      </w:pPr>
      <w:r>
        <w:rPr>
          <w:rFonts w:ascii="Open Sans" w:hAnsi="Open Sans" w:cs="Open Sans"/>
          <w:bCs/>
        </w:rPr>
        <w:t xml:space="preserve">Eine </w:t>
      </w:r>
      <w:r w:rsidRPr="000C4B67">
        <w:rPr>
          <w:rFonts w:ascii="Open Sans" w:hAnsi="Open Sans" w:cs="Open Sans"/>
          <w:bCs/>
          <w:i/>
          <w:iCs/>
        </w:rPr>
        <w:t>Anspruchsgrundlage</w:t>
      </w:r>
      <w:r>
        <w:rPr>
          <w:rFonts w:ascii="Open Sans" w:hAnsi="Open Sans" w:cs="Open Sans"/>
          <w:bCs/>
        </w:rPr>
        <w:t xml:space="preserve"> ist eine Norm, die an einen bestimmten Tatbestand bzw. an bestimmte Tatbestandsmerkmale eine konkrete Rechtsfolge knüpft und somit einen Anspruch entstehen lässt, aufgrund dessen von einem anderen ein Tun oder Unterlassen gefordert werden kann.</w:t>
      </w:r>
      <w:r w:rsidR="00CC2EA4">
        <w:rPr>
          <w:rFonts w:ascii="Open Sans" w:hAnsi="Open Sans" w:cs="Open Sans"/>
          <w:bCs/>
        </w:rPr>
        <w:t xml:space="preserve"> </w:t>
      </w:r>
    </w:p>
    <w:p w14:paraId="2EB29C0E" w14:textId="001C69B3" w:rsidR="000C4B67" w:rsidRDefault="00CC2EA4" w:rsidP="00CC2EA4">
      <w:pPr>
        <w:ind w:left="2832"/>
        <w:jc w:val="both"/>
        <w:rPr>
          <w:rFonts w:ascii="Open Sans" w:hAnsi="Open Sans" w:cs="Open Sans"/>
          <w:bCs/>
        </w:rPr>
      </w:pPr>
      <w:r>
        <w:rPr>
          <w:rFonts w:ascii="Open Sans" w:hAnsi="Open Sans" w:cs="Open Sans"/>
          <w:bCs/>
          <w:i/>
        </w:rPr>
        <w:t xml:space="preserve">Bsp.: </w:t>
      </w:r>
      <w:r>
        <w:rPr>
          <w:rFonts w:ascii="Open Sans" w:hAnsi="Open Sans" w:cs="Open Sans"/>
          <w:bCs/>
        </w:rPr>
        <w:t>§ 433 II BGB; § 280 I BGB; §§ 280 I, 311 II, 241 II BGB; 985 BGB; §§ 812 ff. BGB; §§ 823 ff. BGB</w:t>
      </w:r>
    </w:p>
    <w:p w14:paraId="4055259B" w14:textId="77777777" w:rsidR="00B84BCB" w:rsidRDefault="00B84BCB" w:rsidP="005A1B6D">
      <w:pPr>
        <w:jc w:val="both"/>
        <w:rPr>
          <w:rFonts w:ascii="Open Sans" w:hAnsi="Open Sans" w:cs="Open Sans"/>
          <w:bCs/>
        </w:rPr>
      </w:pPr>
    </w:p>
    <w:p w14:paraId="499C13A5" w14:textId="77777777" w:rsidR="00B84BCB" w:rsidRDefault="00B84BCB" w:rsidP="005A1B6D">
      <w:pPr>
        <w:jc w:val="both"/>
        <w:rPr>
          <w:rFonts w:ascii="Open Sans" w:hAnsi="Open Sans" w:cs="Open Sans"/>
          <w:bCs/>
        </w:rPr>
      </w:pPr>
    </w:p>
    <w:p w14:paraId="644D57A3" w14:textId="77777777" w:rsidR="00B84BCB" w:rsidRDefault="00B84BCB" w:rsidP="005A1B6D">
      <w:pPr>
        <w:jc w:val="both"/>
        <w:rPr>
          <w:rFonts w:ascii="Open Sans" w:hAnsi="Open Sans" w:cs="Open Sans"/>
          <w:bCs/>
        </w:rPr>
      </w:pPr>
      <w:r>
        <w:rPr>
          <w:rFonts w:ascii="Open Sans" w:hAnsi="Open Sans" w:cs="Open Sans"/>
          <w:bCs/>
        </w:rPr>
        <w:t>Forderung</w:t>
      </w:r>
    </w:p>
    <w:p w14:paraId="5D8F4FD0" w14:textId="271CA9B5" w:rsidR="00F16091" w:rsidRDefault="00B84BCB" w:rsidP="00B84BCB">
      <w:pPr>
        <w:ind w:left="2124" w:firstLine="6"/>
        <w:jc w:val="both"/>
        <w:rPr>
          <w:rFonts w:ascii="Open Sans" w:hAnsi="Open Sans" w:cs="Open Sans"/>
          <w:bCs/>
        </w:rPr>
      </w:pPr>
      <w:r>
        <w:rPr>
          <w:rFonts w:ascii="Open Sans" w:hAnsi="Open Sans" w:cs="Open Sans"/>
          <w:bCs/>
        </w:rPr>
        <w:t xml:space="preserve">Eine </w:t>
      </w:r>
      <w:r w:rsidRPr="00B84BCB">
        <w:rPr>
          <w:rFonts w:ascii="Open Sans" w:hAnsi="Open Sans" w:cs="Open Sans"/>
          <w:bCs/>
          <w:i/>
          <w:iCs/>
        </w:rPr>
        <w:t>Forderung</w:t>
      </w:r>
      <w:r>
        <w:rPr>
          <w:rFonts w:ascii="Open Sans" w:hAnsi="Open Sans" w:cs="Open Sans"/>
          <w:bCs/>
        </w:rPr>
        <w:t xml:space="preserve"> stellt einen Anspruch des Gläubigers gegenüber dem Schuldner dar, von diesem eine Leistung fordern zu können.</w:t>
      </w:r>
      <w:r w:rsidR="00CC2EA4">
        <w:rPr>
          <w:rFonts w:ascii="Open Sans" w:hAnsi="Open Sans" w:cs="Open Sans"/>
          <w:bCs/>
        </w:rPr>
        <w:tab/>
      </w:r>
      <w:r w:rsidR="00CC2EA4">
        <w:rPr>
          <w:rFonts w:ascii="Open Sans" w:hAnsi="Open Sans" w:cs="Open Sans"/>
          <w:bCs/>
        </w:rPr>
        <w:tab/>
      </w:r>
      <w:r w:rsidR="00CC2EA4">
        <w:rPr>
          <w:rFonts w:ascii="Open Sans" w:hAnsi="Open Sans" w:cs="Open Sans"/>
          <w:bCs/>
        </w:rPr>
        <w:tab/>
        <w:t xml:space="preserve"> </w:t>
      </w:r>
    </w:p>
    <w:p w14:paraId="2C071BB6" w14:textId="77777777" w:rsidR="000C4B67" w:rsidRDefault="000C4B67" w:rsidP="005A1B6D">
      <w:pPr>
        <w:jc w:val="both"/>
        <w:rPr>
          <w:rFonts w:ascii="Open Sans" w:hAnsi="Open Sans" w:cs="Open Sans"/>
          <w:bCs/>
        </w:rPr>
      </w:pPr>
    </w:p>
    <w:p w14:paraId="27F1A93E" w14:textId="05FAD984" w:rsidR="005A1B6D" w:rsidRDefault="00EE2E85" w:rsidP="005A1B6D">
      <w:pPr>
        <w:jc w:val="both"/>
        <w:rPr>
          <w:rFonts w:ascii="Open Sans" w:hAnsi="Open Sans" w:cs="Open Sans"/>
          <w:bCs/>
        </w:rPr>
      </w:pPr>
      <w:r>
        <w:rPr>
          <w:rFonts w:ascii="Open Sans" w:hAnsi="Open Sans" w:cs="Open Sans"/>
          <w:bCs/>
        </w:rPr>
        <w:t>Quellen:</w:t>
      </w:r>
    </w:p>
    <w:p w14:paraId="7CF6694A" w14:textId="7C090F20" w:rsidR="005A1B6D" w:rsidRDefault="000468E6" w:rsidP="005A1B6D">
      <w:pPr>
        <w:jc w:val="both"/>
        <w:rPr>
          <w:rFonts w:ascii="Open Sans" w:hAnsi="Open Sans" w:cs="Open Sans"/>
          <w:bCs/>
        </w:rPr>
      </w:pPr>
      <w:r>
        <w:rPr>
          <w:rFonts w:ascii="Open Sans" w:hAnsi="Open Sans" w:cs="Open Sans"/>
          <w:bCs/>
          <w:i/>
          <w:iCs/>
        </w:rPr>
        <w:t xml:space="preserve">Ellenberger </w:t>
      </w:r>
      <w:r w:rsidR="005A1B6D">
        <w:rPr>
          <w:rFonts w:ascii="Open Sans" w:hAnsi="Open Sans" w:cs="Open Sans"/>
          <w:bCs/>
        </w:rPr>
        <w:t xml:space="preserve">in: </w:t>
      </w:r>
      <w:r w:rsidR="008B3AFF">
        <w:rPr>
          <w:rFonts w:ascii="Open Sans" w:hAnsi="Open Sans" w:cs="Open Sans"/>
          <w:bCs/>
        </w:rPr>
        <w:t>Palandt</w:t>
      </w:r>
      <w:r w:rsidR="005A1B6D">
        <w:rPr>
          <w:rFonts w:ascii="Open Sans" w:hAnsi="Open Sans" w:cs="Open Sans"/>
          <w:bCs/>
        </w:rPr>
        <w:t xml:space="preserve">, </w:t>
      </w:r>
      <w:r w:rsidR="008B3AFF">
        <w:rPr>
          <w:rFonts w:ascii="Open Sans" w:hAnsi="Open Sans" w:cs="Open Sans"/>
          <w:bCs/>
        </w:rPr>
        <w:t>Bürgerliches Gesetzbuch, 8</w:t>
      </w:r>
      <w:r w:rsidR="005A1B6D">
        <w:rPr>
          <w:rFonts w:ascii="Open Sans" w:hAnsi="Open Sans" w:cs="Open Sans"/>
          <w:bCs/>
        </w:rPr>
        <w:t>0. Aufl. 20</w:t>
      </w:r>
      <w:r w:rsidR="008B3AFF">
        <w:rPr>
          <w:rFonts w:ascii="Open Sans" w:hAnsi="Open Sans" w:cs="Open Sans"/>
          <w:bCs/>
        </w:rPr>
        <w:t>21</w:t>
      </w:r>
      <w:r w:rsidR="005A1B6D">
        <w:rPr>
          <w:rFonts w:ascii="Open Sans" w:hAnsi="Open Sans" w:cs="Open Sans"/>
          <w:bCs/>
        </w:rPr>
        <w:t xml:space="preserve">, </w:t>
      </w:r>
      <w:r w:rsidR="008B3AFF">
        <w:rPr>
          <w:rFonts w:ascii="Open Sans" w:hAnsi="Open Sans" w:cs="Open Sans"/>
          <w:bCs/>
        </w:rPr>
        <w:t>Überblick von § 104</w:t>
      </w:r>
      <w:r w:rsidR="00C23EC5">
        <w:rPr>
          <w:rFonts w:ascii="Open Sans" w:hAnsi="Open Sans" w:cs="Open Sans"/>
          <w:bCs/>
        </w:rPr>
        <w:t>, § 145</w:t>
      </w:r>
      <w:r w:rsidR="00394150">
        <w:rPr>
          <w:rFonts w:ascii="Open Sans" w:hAnsi="Open Sans" w:cs="Open Sans"/>
          <w:bCs/>
        </w:rPr>
        <w:t>.</w:t>
      </w:r>
    </w:p>
    <w:p w14:paraId="079FEE7D" w14:textId="2B3C74A6" w:rsidR="00D573F8" w:rsidRDefault="00D573F8" w:rsidP="00A27345">
      <w:pPr>
        <w:tabs>
          <w:tab w:val="left" w:pos="1095"/>
          <w:tab w:val="left" w:pos="6960"/>
        </w:tabs>
        <w:rPr>
          <w:rFonts w:ascii="Open Sans" w:hAnsi="Open Sans" w:cs="Open Sans"/>
        </w:rPr>
      </w:pPr>
      <w:r w:rsidRPr="00D573F8">
        <w:rPr>
          <w:rFonts w:ascii="Open Sans" w:hAnsi="Open Sans" w:cs="Open Sans"/>
        </w:rPr>
        <w:t>MüKoBGB/Spickhoff, 9. Aufl. 2021, BGB § 105</w:t>
      </w:r>
      <w:r>
        <w:rPr>
          <w:rFonts w:ascii="Open Sans" w:hAnsi="Open Sans" w:cs="Open Sans"/>
        </w:rPr>
        <w:t>.</w:t>
      </w:r>
    </w:p>
    <w:p w14:paraId="6C8ABDDD" w14:textId="026F6C71" w:rsidR="00136845" w:rsidRDefault="00B84BCB" w:rsidP="00A27345">
      <w:pPr>
        <w:tabs>
          <w:tab w:val="left" w:pos="1095"/>
          <w:tab w:val="left" w:pos="6960"/>
        </w:tabs>
        <w:rPr>
          <w:rFonts w:ascii="Open Sans" w:hAnsi="Open Sans" w:cs="Open Sans"/>
        </w:rPr>
      </w:pPr>
      <w:r w:rsidRPr="00B84BCB">
        <w:rPr>
          <w:rFonts w:ascii="Open Sans" w:hAnsi="Open Sans" w:cs="Open Sans"/>
        </w:rPr>
        <w:t>MüKoBGB/Bachmann, 9. Aufl. 2022, BGB § 241 Rn. 6</w:t>
      </w:r>
      <w:r>
        <w:rPr>
          <w:rFonts w:ascii="Open Sans" w:hAnsi="Open Sans" w:cs="Open Sans"/>
        </w:rPr>
        <w:t xml:space="preserve"> ff.</w:t>
      </w:r>
    </w:p>
    <w:p w14:paraId="259BEF85" w14:textId="390DF8D6" w:rsidR="00B84BCB" w:rsidRPr="00136845" w:rsidRDefault="00B84BCB" w:rsidP="00A27345">
      <w:pPr>
        <w:tabs>
          <w:tab w:val="left" w:pos="1095"/>
          <w:tab w:val="left" w:pos="6960"/>
        </w:tabs>
        <w:rPr>
          <w:rFonts w:ascii="Open Sans" w:hAnsi="Open Sans" w:cs="Open Sans"/>
        </w:rPr>
      </w:pPr>
      <w:r>
        <w:rPr>
          <w:rFonts w:ascii="Open Sans" w:hAnsi="Open Sans" w:cs="Open Sans"/>
        </w:rPr>
        <w:t>ZJS 2/2009 – Zum Trennung- und Abstraktionsprinzip.</w:t>
      </w:r>
    </w:p>
    <w:sectPr w:rsidR="00B84BCB" w:rsidRPr="00136845">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7265E" w14:textId="77777777" w:rsidR="00F103CE" w:rsidRDefault="00F103CE" w:rsidP="0041069B">
      <w:pPr>
        <w:spacing w:after="0" w:line="240" w:lineRule="auto"/>
      </w:pPr>
      <w:r>
        <w:separator/>
      </w:r>
    </w:p>
  </w:endnote>
  <w:endnote w:type="continuationSeparator" w:id="0">
    <w:p w14:paraId="2D1EA8FB" w14:textId="77777777" w:rsidR="00F103CE" w:rsidRDefault="00F103CE" w:rsidP="0041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BF386D">
      <w:tc>
        <w:tcPr>
          <w:tcW w:w="3020" w:type="dxa"/>
        </w:tcPr>
        <w:bookmarkStart w:id="1" w:name="_Hlk64808829"/>
        <w:bookmarkStart w:id="2"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131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8724"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0288"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5537CC"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9264" behindDoc="0" locked="0" layoutInCell="1" allowOverlap="1" wp14:anchorId="2CA38D9E" wp14:editId="654F014F">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2FCFC"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" o:button="t" fillcolor="white [3212]" strokecolor="#a5a5a5 [2092]" strokeweight="1pt">
                    <v:fill o:detectmouseclick="t"/>
                    <v:stroke joinstyle="miter"/>
                  </v:oval>
                </w:pict>
              </mc:Fallback>
            </mc:AlternateContent>
          </w:r>
        </w:p>
      </w:tc>
      <w:tc>
        <w:tcPr>
          <w:tcW w:w="3021" w:type="dxa"/>
        </w:tcPr>
        <w:p w14:paraId="62644657" w14:textId="1845B292"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113C5AAB" w:rsidR="00A60D0D" w:rsidRPr="00A27345" w:rsidRDefault="00000000" w:rsidP="00BF386D">
          <w:pPr>
            <w:rPr>
              <w:rFonts w:ascii="Open Sans" w:hAnsi="Open Sans" w:cs="Open Sans"/>
              <w:sz w:val="14"/>
              <w:szCs w:val="14"/>
            </w:rPr>
          </w:pPr>
          <w:hyperlink w:anchor="header" w:history="1">
            <w:r w:rsidR="00A27345" w:rsidRPr="00A27345">
              <w:rPr>
                <w:rStyle w:val="Hyperlink"/>
                <w:rFonts w:ascii="Open Sans" w:hAnsi="Open Sans" w:cs="Open Sans"/>
                <w:color w:val="FFFFFF" w:themeColor="background1"/>
                <w:sz w:val="14"/>
                <w:szCs w:val="14"/>
              </w:rPr>
              <w:t>Link</w:t>
            </w:r>
          </w:hyperlink>
          <w:r w:rsidR="00A27345" w:rsidRPr="00A27345">
            <w:rPr>
              <w:rStyle w:val="Hyperlink"/>
              <w:rFonts w:ascii="Open Sans" w:hAnsi="Open Sans" w:cs="Open Sans"/>
              <w:color w:val="FFFFFF" w:themeColor="background1"/>
              <w:sz w:val="14"/>
              <w:szCs w:val="14"/>
            </w:rPr>
            <w:t xml:space="preserve"> zum Seitenanfang (nicht löschen)</w:t>
          </w:r>
        </w:p>
      </w:tc>
    </w:tr>
    <w:bookmarkEnd w:id="1"/>
    <w:bookmarkEnd w:id="2"/>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5DD2D" w14:textId="77777777" w:rsidR="00F103CE" w:rsidRDefault="00F103CE" w:rsidP="0041069B">
      <w:pPr>
        <w:spacing w:after="0" w:line="240" w:lineRule="auto"/>
      </w:pPr>
      <w:r>
        <w:separator/>
      </w:r>
    </w:p>
  </w:footnote>
  <w:footnote w:type="continuationSeparator" w:id="0">
    <w:p w14:paraId="3CA49171" w14:textId="77777777" w:rsidR="00F103CE" w:rsidRDefault="00F103CE" w:rsidP="0041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3"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4" w15:restartNumberingAfterBreak="0">
    <w:nsid w:val="1E333FEC"/>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7"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0"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1"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2"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3"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14"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15"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6"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17"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18"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1"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22"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23"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4"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abstractNum w:abstractNumId="25" w15:restartNumberingAfterBreak="0">
    <w:nsid w:val="7CCA183E"/>
    <w:multiLevelType w:val="hybridMultilevel"/>
    <w:tmpl w:val="59C67DB8"/>
    <w:lvl w:ilvl="0" w:tplc="36F60320">
      <w:numFmt w:val="bullet"/>
      <w:lvlText w:val="-"/>
      <w:lvlJc w:val="left"/>
      <w:pPr>
        <w:ind w:left="2490" w:hanging="360"/>
      </w:pPr>
      <w:rPr>
        <w:rFonts w:ascii="Open Sans" w:eastAsiaTheme="minorHAnsi" w:hAnsi="Open Sans" w:cs="Open Sans" w:hint="default"/>
        <w:i/>
      </w:rPr>
    </w:lvl>
    <w:lvl w:ilvl="1" w:tplc="04070003" w:tentative="1">
      <w:start w:val="1"/>
      <w:numFmt w:val="bullet"/>
      <w:lvlText w:val="o"/>
      <w:lvlJc w:val="left"/>
      <w:pPr>
        <w:ind w:left="3210" w:hanging="360"/>
      </w:pPr>
      <w:rPr>
        <w:rFonts w:ascii="Courier New" w:hAnsi="Courier New" w:cs="Courier New" w:hint="default"/>
      </w:rPr>
    </w:lvl>
    <w:lvl w:ilvl="2" w:tplc="04070005" w:tentative="1">
      <w:start w:val="1"/>
      <w:numFmt w:val="bullet"/>
      <w:lvlText w:val=""/>
      <w:lvlJc w:val="left"/>
      <w:pPr>
        <w:ind w:left="3930" w:hanging="360"/>
      </w:pPr>
      <w:rPr>
        <w:rFonts w:ascii="Wingdings" w:hAnsi="Wingdings" w:hint="default"/>
      </w:rPr>
    </w:lvl>
    <w:lvl w:ilvl="3" w:tplc="04070001" w:tentative="1">
      <w:start w:val="1"/>
      <w:numFmt w:val="bullet"/>
      <w:lvlText w:val=""/>
      <w:lvlJc w:val="left"/>
      <w:pPr>
        <w:ind w:left="4650" w:hanging="360"/>
      </w:pPr>
      <w:rPr>
        <w:rFonts w:ascii="Symbol" w:hAnsi="Symbol" w:hint="default"/>
      </w:rPr>
    </w:lvl>
    <w:lvl w:ilvl="4" w:tplc="04070003" w:tentative="1">
      <w:start w:val="1"/>
      <w:numFmt w:val="bullet"/>
      <w:lvlText w:val="o"/>
      <w:lvlJc w:val="left"/>
      <w:pPr>
        <w:ind w:left="5370" w:hanging="360"/>
      </w:pPr>
      <w:rPr>
        <w:rFonts w:ascii="Courier New" w:hAnsi="Courier New" w:cs="Courier New" w:hint="default"/>
      </w:rPr>
    </w:lvl>
    <w:lvl w:ilvl="5" w:tplc="04070005" w:tentative="1">
      <w:start w:val="1"/>
      <w:numFmt w:val="bullet"/>
      <w:lvlText w:val=""/>
      <w:lvlJc w:val="left"/>
      <w:pPr>
        <w:ind w:left="6090" w:hanging="360"/>
      </w:pPr>
      <w:rPr>
        <w:rFonts w:ascii="Wingdings" w:hAnsi="Wingdings" w:hint="default"/>
      </w:rPr>
    </w:lvl>
    <w:lvl w:ilvl="6" w:tplc="04070001" w:tentative="1">
      <w:start w:val="1"/>
      <w:numFmt w:val="bullet"/>
      <w:lvlText w:val=""/>
      <w:lvlJc w:val="left"/>
      <w:pPr>
        <w:ind w:left="6810" w:hanging="360"/>
      </w:pPr>
      <w:rPr>
        <w:rFonts w:ascii="Symbol" w:hAnsi="Symbol" w:hint="default"/>
      </w:rPr>
    </w:lvl>
    <w:lvl w:ilvl="7" w:tplc="04070003" w:tentative="1">
      <w:start w:val="1"/>
      <w:numFmt w:val="bullet"/>
      <w:lvlText w:val="o"/>
      <w:lvlJc w:val="left"/>
      <w:pPr>
        <w:ind w:left="7530" w:hanging="360"/>
      </w:pPr>
      <w:rPr>
        <w:rFonts w:ascii="Courier New" w:hAnsi="Courier New" w:cs="Courier New" w:hint="default"/>
      </w:rPr>
    </w:lvl>
    <w:lvl w:ilvl="8" w:tplc="04070005" w:tentative="1">
      <w:start w:val="1"/>
      <w:numFmt w:val="bullet"/>
      <w:lvlText w:val=""/>
      <w:lvlJc w:val="left"/>
      <w:pPr>
        <w:ind w:left="8250" w:hanging="360"/>
      </w:pPr>
      <w:rPr>
        <w:rFonts w:ascii="Wingdings" w:hAnsi="Wingdings" w:hint="default"/>
      </w:rPr>
    </w:lvl>
  </w:abstractNum>
  <w:num w:numId="1" w16cid:durableId="65350003">
    <w:abstractNumId w:val="19"/>
  </w:num>
  <w:num w:numId="2" w16cid:durableId="465009924">
    <w:abstractNumId w:val="4"/>
  </w:num>
  <w:num w:numId="3" w16cid:durableId="1930311915">
    <w:abstractNumId w:val="6"/>
  </w:num>
  <w:num w:numId="4" w16cid:durableId="1308053334">
    <w:abstractNumId w:val="21"/>
  </w:num>
  <w:num w:numId="5" w16cid:durableId="431126339">
    <w:abstractNumId w:val="24"/>
  </w:num>
  <w:num w:numId="6" w16cid:durableId="1409618496">
    <w:abstractNumId w:val="13"/>
  </w:num>
  <w:num w:numId="7" w16cid:durableId="1238443477">
    <w:abstractNumId w:val="10"/>
  </w:num>
  <w:num w:numId="8" w16cid:durableId="1887403206">
    <w:abstractNumId w:val="16"/>
  </w:num>
  <w:num w:numId="9" w16cid:durableId="936328508">
    <w:abstractNumId w:val="20"/>
  </w:num>
  <w:num w:numId="10" w16cid:durableId="656303476">
    <w:abstractNumId w:val="11"/>
  </w:num>
  <w:num w:numId="11" w16cid:durableId="37169838">
    <w:abstractNumId w:val="23"/>
  </w:num>
  <w:num w:numId="12" w16cid:durableId="594096443">
    <w:abstractNumId w:val="12"/>
  </w:num>
  <w:num w:numId="13" w16cid:durableId="1931691376">
    <w:abstractNumId w:val="22"/>
  </w:num>
  <w:num w:numId="14" w16cid:durableId="1947999080">
    <w:abstractNumId w:val="17"/>
  </w:num>
  <w:num w:numId="15" w16cid:durableId="1997222569">
    <w:abstractNumId w:val="9"/>
  </w:num>
  <w:num w:numId="16" w16cid:durableId="1082293743">
    <w:abstractNumId w:val="0"/>
  </w:num>
  <w:num w:numId="17" w16cid:durableId="1898515500">
    <w:abstractNumId w:val="14"/>
  </w:num>
  <w:num w:numId="18" w16cid:durableId="805514100">
    <w:abstractNumId w:val="2"/>
  </w:num>
  <w:num w:numId="19" w16cid:durableId="1159619428">
    <w:abstractNumId w:val="15"/>
  </w:num>
  <w:num w:numId="20" w16cid:durableId="302393609">
    <w:abstractNumId w:val="3"/>
  </w:num>
  <w:num w:numId="21" w16cid:durableId="1993634929">
    <w:abstractNumId w:val="8"/>
  </w:num>
  <w:num w:numId="22" w16cid:durableId="516430401">
    <w:abstractNumId w:val="1"/>
  </w:num>
  <w:num w:numId="23" w16cid:durableId="389235428">
    <w:abstractNumId w:val="7"/>
  </w:num>
  <w:num w:numId="24" w16cid:durableId="1269237549">
    <w:abstractNumId w:val="18"/>
  </w:num>
  <w:num w:numId="25" w16cid:durableId="837310499">
    <w:abstractNumId w:val="5"/>
  </w:num>
  <w:num w:numId="26" w16cid:durableId="141374535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130B1"/>
    <w:rsid w:val="00040184"/>
    <w:rsid w:val="000468E6"/>
    <w:rsid w:val="000C4B67"/>
    <w:rsid w:val="0010748A"/>
    <w:rsid w:val="00123860"/>
    <w:rsid w:val="00136845"/>
    <w:rsid w:val="001549F9"/>
    <w:rsid w:val="0017128A"/>
    <w:rsid w:val="0017497A"/>
    <w:rsid w:val="00185932"/>
    <w:rsid w:val="00192777"/>
    <w:rsid w:val="001D6CAA"/>
    <w:rsid w:val="002036BE"/>
    <w:rsid w:val="002230EF"/>
    <w:rsid w:val="00241692"/>
    <w:rsid w:val="002577DC"/>
    <w:rsid w:val="00257895"/>
    <w:rsid w:val="00257A0B"/>
    <w:rsid w:val="0026394C"/>
    <w:rsid w:val="002877FF"/>
    <w:rsid w:val="00295E1E"/>
    <w:rsid w:val="002A5347"/>
    <w:rsid w:val="002C5086"/>
    <w:rsid w:val="00323DED"/>
    <w:rsid w:val="00394150"/>
    <w:rsid w:val="003B1E9E"/>
    <w:rsid w:val="003C1257"/>
    <w:rsid w:val="003D3103"/>
    <w:rsid w:val="003D5108"/>
    <w:rsid w:val="0041069B"/>
    <w:rsid w:val="00415653"/>
    <w:rsid w:val="00445655"/>
    <w:rsid w:val="00446D1C"/>
    <w:rsid w:val="004708B9"/>
    <w:rsid w:val="00473757"/>
    <w:rsid w:val="0048717C"/>
    <w:rsid w:val="004A7925"/>
    <w:rsid w:val="004B2F08"/>
    <w:rsid w:val="004F059B"/>
    <w:rsid w:val="00511048"/>
    <w:rsid w:val="00517716"/>
    <w:rsid w:val="00517723"/>
    <w:rsid w:val="00522089"/>
    <w:rsid w:val="00522A4E"/>
    <w:rsid w:val="00574C17"/>
    <w:rsid w:val="00590BFE"/>
    <w:rsid w:val="005A1B6D"/>
    <w:rsid w:val="005A556D"/>
    <w:rsid w:val="005A6852"/>
    <w:rsid w:val="005E2DC1"/>
    <w:rsid w:val="005F0ED2"/>
    <w:rsid w:val="005F668B"/>
    <w:rsid w:val="00611A78"/>
    <w:rsid w:val="006178E1"/>
    <w:rsid w:val="006242E8"/>
    <w:rsid w:val="006808BC"/>
    <w:rsid w:val="00685E8F"/>
    <w:rsid w:val="00693D80"/>
    <w:rsid w:val="006A58EF"/>
    <w:rsid w:val="006B7D18"/>
    <w:rsid w:val="006D2CA7"/>
    <w:rsid w:val="006D77EF"/>
    <w:rsid w:val="006E1970"/>
    <w:rsid w:val="006E310E"/>
    <w:rsid w:val="00715314"/>
    <w:rsid w:val="00721D32"/>
    <w:rsid w:val="00722F4A"/>
    <w:rsid w:val="00744F0C"/>
    <w:rsid w:val="00756EF3"/>
    <w:rsid w:val="00763B80"/>
    <w:rsid w:val="0077736A"/>
    <w:rsid w:val="007C4C5F"/>
    <w:rsid w:val="007D1C6B"/>
    <w:rsid w:val="007D788D"/>
    <w:rsid w:val="007F4204"/>
    <w:rsid w:val="007F54BD"/>
    <w:rsid w:val="0083366F"/>
    <w:rsid w:val="00856EB0"/>
    <w:rsid w:val="008616A5"/>
    <w:rsid w:val="008627A7"/>
    <w:rsid w:val="0086571E"/>
    <w:rsid w:val="00881896"/>
    <w:rsid w:val="008953F3"/>
    <w:rsid w:val="008959AC"/>
    <w:rsid w:val="008975C9"/>
    <w:rsid w:val="008B3AFF"/>
    <w:rsid w:val="008C7B6C"/>
    <w:rsid w:val="008E352C"/>
    <w:rsid w:val="008E497E"/>
    <w:rsid w:val="00987135"/>
    <w:rsid w:val="009A223F"/>
    <w:rsid w:val="009A7135"/>
    <w:rsid w:val="009B5901"/>
    <w:rsid w:val="009D0F5B"/>
    <w:rsid w:val="00A07F0F"/>
    <w:rsid w:val="00A11567"/>
    <w:rsid w:val="00A27345"/>
    <w:rsid w:val="00A60D0D"/>
    <w:rsid w:val="00A6156E"/>
    <w:rsid w:val="00A7211A"/>
    <w:rsid w:val="00A84793"/>
    <w:rsid w:val="00AE748B"/>
    <w:rsid w:val="00B20871"/>
    <w:rsid w:val="00B319F6"/>
    <w:rsid w:val="00B65D0D"/>
    <w:rsid w:val="00B7208C"/>
    <w:rsid w:val="00B84BCB"/>
    <w:rsid w:val="00B913B7"/>
    <w:rsid w:val="00BA3014"/>
    <w:rsid w:val="00BB2365"/>
    <w:rsid w:val="00BE13DA"/>
    <w:rsid w:val="00BF386D"/>
    <w:rsid w:val="00C16BD3"/>
    <w:rsid w:val="00C2164B"/>
    <w:rsid w:val="00C23EC5"/>
    <w:rsid w:val="00C35596"/>
    <w:rsid w:val="00C36D9A"/>
    <w:rsid w:val="00CC2EA4"/>
    <w:rsid w:val="00CE10DF"/>
    <w:rsid w:val="00CE47A4"/>
    <w:rsid w:val="00CF0756"/>
    <w:rsid w:val="00CF47F5"/>
    <w:rsid w:val="00CF6B64"/>
    <w:rsid w:val="00D01277"/>
    <w:rsid w:val="00D15FA7"/>
    <w:rsid w:val="00D3490D"/>
    <w:rsid w:val="00D561B3"/>
    <w:rsid w:val="00D573F8"/>
    <w:rsid w:val="00D7007F"/>
    <w:rsid w:val="00D7592C"/>
    <w:rsid w:val="00D76651"/>
    <w:rsid w:val="00DA4AEE"/>
    <w:rsid w:val="00DD34DC"/>
    <w:rsid w:val="00DE7393"/>
    <w:rsid w:val="00E00DCA"/>
    <w:rsid w:val="00E21E38"/>
    <w:rsid w:val="00E235DB"/>
    <w:rsid w:val="00E31E5E"/>
    <w:rsid w:val="00E471C9"/>
    <w:rsid w:val="00E715C3"/>
    <w:rsid w:val="00E757D4"/>
    <w:rsid w:val="00E937D4"/>
    <w:rsid w:val="00E950D0"/>
    <w:rsid w:val="00EA4BF1"/>
    <w:rsid w:val="00EB3244"/>
    <w:rsid w:val="00EE2E85"/>
    <w:rsid w:val="00EE5B5C"/>
    <w:rsid w:val="00EF11AF"/>
    <w:rsid w:val="00F103CE"/>
    <w:rsid w:val="00F16091"/>
    <w:rsid w:val="00F41C05"/>
    <w:rsid w:val="00F51C25"/>
    <w:rsid w:val="00F647A6"/>
    <w:rsid w:val="00F90369"/>
    <w:rsid w:val="00F90F16"/>
    <w:rsid w:val="00FC1215"/>
    <w:rsid w:val="00FD6473"/>
    <w:rsid w:val="00FE1533"/>
    <w:rsid w:val="00FE6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2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1627</Words>
  <Characters>10251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21</cp:revision>
  <cp:lastPrinted>2022-02-19T09:00:00Z</cp:lastPrinted>
  <dcterms:created xsi:type="dcterms:W3CDTF">2022-03-08T18:24:00Z</dcterms:created>
  <dcterms:modified xsi:type="dcterms:W3CDTF">2022-09-07T13:46:00Z</dcterms:modified>
</cp:coreProperties>
</file>