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B4E9" w14:textId="10CC240C" w:rsidR="00715314" w:rsidRPr="00517716" w:rsidRDefault="00973E55" w:rsidP="00715314">
      <w:pPr>
        <w:jc w:val="both"/>
        <w:rPr>
          <w:rFonts w:ascii="Open Sans" w:hAnsi="Open Sans" w:cs="Open Sans"/>
          <w:b/>
          <w:bCs/>
          <w:sz w:val="36"/>
          <w:szCs w:val="36"/>
        </w:rPr>
      </w:pPr>
      <w:bookmarkStart w:id="0" w:name="header"/>
      <w:r>
        <w:rPr>
          <w:rFonts w:ascii="Open Sans" w:hAnsi="Open Sans" w:cs="Open Sans"/>
          <w:b/>
          <w:bCs/>
          <w:sz w:val="36"/>
          <w:szCs w:val="36"/>
        </w:rPr>
        <w:t>Methodenlehre</w:t>
      </w:r>
    </w:p>
    <w:bookmarkEnd w:id="0"/>
    <w:p w14:paraId="4538D0C1" w14:textId="77777777" w:rsidR="005A1B6D" w:rsidRDefault="005A1B6D" w:rsidP="005A1B6D">
      <w:pPr>
        <w:pStyle w:val="SchemaDefinitionenHeader"/>
      </w:pPr>
      <w:r>
        <w:t>Definitionen</w:t>
      </w:r>
    </w:p>
    <w:p w14:paraId="2FAD482B" w14:textId="3D80E0EB" w:rsidR="005A1B6D" w:rsidRDefault="005A1B6D" w:rsidP="005A1B6D">
      <w:pPr>
        <w:pStyle w:val="SchemaDefinitionenHeader"/>
        <w:rPr>
          <w:color w:val="auto"/>
        </w:rPr>
      </w:pPr>
    </w:p>
    <w:p w14:paraId="2F72A157" w14:textId="6317DE07" w:rsidR="00C10EEE" w:rsidRDefault="00C10EEE" w:rsidP="00C10EEE">
      <w:pPr>
        <w:jc w:val="both"/>
        <w:rPr>
          <w:rFonts w:ascii="Open Sans" w:hAnsi="Open Sans" w:cs="Open Sans"/>
          <w:bCs/>
        </w:rPr>
      </w:pPr>
      <w:r>
        <w:rPr>
          <w:rFonts w:ascii="Open Sans" w:hAnsi="Open Sans" w:cs="Open Sans"/>
          <w:bCs/>
        </w:rPr>
        <w:t>Wortlautauslegung (grammatische Auslegung)</w:t>
      </w:r>
    </w:p>
    <w:p w14:paraId="14417D5A" w14:textId="7DCC985A" w:rsidR="00C10EEE" w:rsidRDefault="00C10EEE" w:rsidP="00C10EEE">
      <w:pPr>
        <w:pStyle w:val="SchemaDefinitionenHeader"/>
        <w:ind w:left="2124" w:firstLine="6"/>
        <w:rPr>
          <w:color w:val="auto"/>
        </w:rPr>
      </w:pPr>
      <w:r>
        <w:rPr>
          <w:color w:val="auto"/>
        </w:rPr>
        <w:t xml:space="preserve">Die </w:t>
      </w:r>
      <w:r w:rsidRPr="00EB5F48">
        <w:rPr>
          <w:i/>
          <w:iCs/>
          <w:color w:val="auto"/>
        </w:rPr>
        <w:t>Wortlautauslegung</w:t>
      </w:r>
      <w:r>
        <w:rPr>
          <w:color w:val="auto"/>
        </w:rPr>
        <w:t xml:space="preserve"> orientiert sich streng am Gesetzeswortlaut und ist </w:t>
      </w:r>
      <w:r w:rsidR="00B57BC6">
        <w:rPr>
          <w:color w:val="auto"/>
        </w:rPr>
        <w:t xml:space="preserve">die </w:t>
      </w:r>
      <w:r>
        <w:rPr>
          <w:color w:val="auto"/>
        </w:rPr>
        <w:t>vorrangige Auslegungsmethode.</w:t>
      </w:r>
      <w:r w:rsidR="00EB5F48">
        <w:rPr>
          <w:color w:val="auto"/>
        </w:rPr>
        <w:t xml:space="preserve"> </w:t>
      </w:r>
    </w:p>
    <w:p w14:paraId="5B784E3A" w14:textId="77777777" w:rsidR="00D80DFB" w:rsidRPr="00D80DFB" w:rsidRDefault="00D80DFB" w:rsidP="00D80DFB">
      <w:pPr>
        <w:pStyle w:val="SchemaDefinitionenHeader"/>
        <w:ind w:left="2832" w:firstLine="3"/>
        <w:rPr>
          <w:color w:val="auto"/>
        </w:rPr>
      </w:pPr>
      <w:r>
        <w:rPr>
          <w:i/>
          <w:color w:val="auto"/>
        </w:rPr>
        <w:t xml:space="preserve">Bsp.: </w:t>
      </w:r>
      <w:r>
        <w:rPr>
          <w:color w:val="auto"/>
        </w:rPr>
        <w:t>§ 306 StGB befindet sich zwar in einem anderen Abschnitt als § 303 StGB, setzt aber dem Wortlaut nach – wie § 303 StGB auch – „Fremdheit“ voraus.</w:t>
      </w:r>
    </w:p>
    <w:p w14:paraId="0EF385DD" w14:textId="493A3607" w:rsidR="00C10EEE" w:rsidRDefault="00C10EEE" w:rsidP="00EB5F48">
      <w:pPr>
        <w:pStyle w:val="SchemaDefinitionenHeader"/>
        <w:rPr>
          <w:color w:val="auto"/>
        </w:rPr>
      </w:pPr>
    </w:p>
    <w:p w14:paraId="59378701" w14:textId="381DFB3D" w:rsidR="00EB5F48" w:rsidRDefault="00EB5F48" w:rsidP="00EB5F48">
      <w:pPr>
        <w:pStyle w:val="SchemaDefinitionenHeader"/>
        <w:rPr>
          <w:color w:val="auto"/>
        </w:rPr>
      </w:pPr>
      <w:r>
        <w:rPr>
          <w:color w:val="auto"/>
        </w:rPr>
        <w:t>Systematische Auslegung</w:t>
      </w:r>
    </w:p>
    <w:p w14:paraId="713C2CC6" w14:textId="68FAB641" w:rsidR="00EB5F48" w:rsidRDefault="00EB5F48" w:rsidP="00D80DFB">
      <w:pPr>
        <w:pStyle w:val="SchemaDefinitionenHeader"/>
        <w:ind w:left="2124" w:firstLine="6"/>
        <w:rPr>
          <w:color w:val="auto"/>
        </w:rPr>
      </w:pPr>
      <w:r>
        <w:rPr>
          <w:color w:val="auto"/>
        </w:rPr>
        <w:t>Es findet eine Gesamtbetrachtung der Vorschriften statt, die sich in dem jeweiligen Abschnitt</w:t>
      </w:r>
      <w:r w:rsidR="00D80DFB">
        <w:rPr>
          <w:color w:val="auto"/>
        </w:rPr>
        <w:t xml:space="preserve"> oder Kapitel befinden, um dadurch eine Aussage über die Intention des Gesetzgebers bzw. die Interpretation der infragestehenden Regelung treffen zu können.</w:t>
      </w:r>
    </w:p>
    <w:p w14:paraId="7AA3CFA4" w14:textId="77777777" w:rsidR="00D80DFB" w:rsidRDefault="00D80DFB" w:rsidP="00D80DFB">
      <w:pPr>
        <w:pStyle w:val="SchemaDefinitionenHeader"/>
        <w:ind w:left="2124" w:firstLine="6"/>
        <w:rPr>
          <w:color w:val="auto"/>
        </w:rPr>
      </w:pPr>
    </w:p>
    <w:p w14:paraId="25B65B1C" w14:textId="6CB25902" w:rsidR="005A1B6D" w:rsidRDefault="00560D75" w:rsidP="005A1B6D">
      <w:pPr>
        <w:pStyle w:val="SchemaDefinitionenHeader"/>
        <w:rPr>
          <w:color w:val="auto"/>
        </w:rPr>
      </w:pPr>
      <w:r>
        <w:rPr>
          <w:color w:val="auto"/>
        </w:rPr>
        <w:t>Analogie</w:t>
      </w:r>
    </w:p>
    <w:p w14:paraId="16CA0A33" w14:textId="77777777" w:rsidR="00973E55" w:rsidRDefault="00560D75" w:rsidP="005A1B6D">
      <w:pPr>
        <w:ind w:left="2124"/>
        <w:jc w:val="both"/>
        <w:rPr>
          <w:rFonts w:ascii="Open Sans" w:hAnsi="Open Sans" w:cs="Open Sans"/>
          <w:bCs/>
        </w:rPr>
      </w:pPr>
      <w:r>
        <w:rPr>
          <w:rFonts w:ascii="Open Sans" w:hAnsi="Open Sans" w:cs="Open Sans"/>
          <w:bCs/>
        </w:rPr>
        <w:t xml:space="preserve">Unter </w:t>
      </w:r>
      <w:r>
        <w:rPr>
          <w:rFonts w:ascii="Open Sans" w:hAnsi="Open Sans" w:cs="Open Sans"/>
          <w:bCs/>
          <w:i/>
        </w:rPr>
        <w:t xml:space="preserve">Analogie </w:t>
      </w:r>
      <w:r>
        <w:rPr>
          <w:rFonts w:ascii="Open Sans" w:hAnsi="Open Sans" w:cs="Open Sans"/>
          <w:bCs/>
        </w:rPr>
        <w:t xml:space="preserve">versteht man die Anwendung einer Rechtsnorm auf einen Sachverhalt, der so in vorliegender Form von der konkreten Rechtsnorm nicht gedeckt ist, aber einen ähnlichen ungeregelten Fall darstellt. </w:t>
      </w:r>
      <w:r w:rsidR="00973E55">
        <w:rPr>
          <w:rFonts w:ascii="Open Sans" w:hAnsi="Open Sans" w:cs="Open Sans"/>
          <w:bCs/>
        </w:rPr>
        <w:t xml:space="preserve">Sie ist eine Form der Rechtsfortbildung. </w:t>
      </w:r>
      <w:r>
        <w:rPr>
          <w:rFonts w:ascii="Open Sans" w:hAnsi="Open Sans" w:cs="Open Sans"/>
          <w:bCs/>
        </w:rPr>
        <w:t>Eine analoge Anwendung setzt „eine vergleichbare Interessenlage“ und eine „planwidrige Regelungslücke“ voraus. Darüber hinaus darf kein Analogieverbot bestehen.</w:t>
      </w:r>
      <w:r w:rsidR="00973E55">
        <w:rPr>
          <w:rFonts w:ascii="Open Sans" w:hAnsi="Open Sans" w:cs="Open Sans"/>
          <w:bCs/>
        </w:rPr>
        <w:t xml:space="preserve"> </w:t>
      </w:r>
    </w:p>
    <w:p w14:paraId="5FD21191" w14:textId="0E84C6C4" w:rsidR="005A1B6D" w:rsidRDefault="00973E55" w:rsidP="00D80DFB">
      <w:pPr>
        <w:ind w:left="2832"/>
        <w:jc w:val="both"/>
        <w:rPr>
          <w:rFonts w:ascii="Open Sans" w:hAnsi="Open Sans" w:cs="Open Sans"/>
          <w:bCs/>
        </w:rPr>
      </w:pPr>
      <w:r w:rsidRPr="00973E55">
        <w:rPr>
          <w:rFonts w:ascii="Open Sans" w:hAnsi="Open Sans" w:cs="Open Sans"/>
          <w:bCs/>
          <w:i/>
          <w:iCs/>
        </w:rPr>
        <w:t>Bsp.:</w:t>
      </w:r>
      <w:r>
        <w:rPr>
          <w:rFonts w:ascii="Open Sans" w:hAnsi="Open Sans" w:cs="Open Sans"/>
          <w:bCs/>
        </w:rPr>
        <w:t xml:space="preserve"> Die Anwendung von § 1004 BGB analog </w:t>
      </w:r>
      <w:proofErr w:type="spellStart"/>
      <w:r>
        <w:rPr>
          <w:rFonts w:ascii="Open Sans" w:hAnsi="Open Sans" w:cs="Open Sans"/>
          <w:bCs/>
        </w:rPr>
        <w:t>iVm</w:t>
      </w:r>
      <w:proofErr w:type="spellEnd"/>
      <w:r>
        <w:rPr>
          <w:rFonts w:ascii="Open Sans" w:hAnsi="Open Sans" w:cs="Open Sans"/>
          <w:bCs/>
        </w:rPr>
        <w:t xml:space="preserve"> § 823 I BGB erweitert den Unterlassungs- bzw. Beseitigungsanspruch des § 1004 BGB auf die in § 823 I BGB genannten absolut geschützten Rechtsgüter.</w:t>
      </w:r>
    </w:p>
    <w:p w14:paraId="23BCC960" w14:textId="1C863BF2" w:rsidR="00560D75" w:rsidRDefault="00560D75" w:rsidP="00560D75">
      <w:pPr>
        <w:jc w:val="both"/>
        <w:rPr>
          <w:rFonts w:ascii="Open Sans" w:hAnsi="Open Sans" w:cs="Open Sans"/>
          <w:bCs/>
        </w:rPr>
      </w:pPr>
    </w:p>
    <w:p w14:paraId="64B6851C" w14:textId="38344D8C" w:rsidR="00560D75" w:rsidRDefault="00560D75" w:rsidP="00560D75">
      <w:pPr>
        <w:jc w:val="both"/>
        <w:rPr>
          <w:rFonts w:ascii="Open Sans" w:hAnsi="Open Sans" w:cs="Open Sans"/>
          <w:bCs/>
        </w:rPr>
      </w:pPr>
      <w:r>
        <w:rPr>
          <w:rFonts w:ascii="Open Sans" w:hAnsi="Open Sans" w:cs="Open Sans"/>
          <w:bCs/>
        </w:rPr>
        <w:t>Vergleichbare Interessenlage</w:t>
      </w:r>
    </w:p>
    <w:p w14:paraId="498FD39E" w14:textId="14A7C180" w:rsidR="00560D75" w:rsidRDefault="00C06400" w:rsidP="00973E55">
      <w:pPr>
        <w:ind w:left="2124" w:firstLine="6"/>
        <w:jc w:val="both"/>
        <w:rPr>
          <w:rFonts w:ascii="Open Sans" w:hAnsi="Open Sans" w:cs="Open Sans"/>
          <w:bCs/>
        </w:rPr>
      </w:pPr>
      <w:r>
        <w:rPr>
          <w:rFonts w:ascii="Open Sans" w:hAnsi="Open Sans" w:cs="Open Sans"/>
          <w:bCs/>
        </w:rPr>
        <w:t xml:space="preserve">Die </w:t>
      </w:r>
      <w:r w:rsidRPr="00C06400">
        <w:rPr>
          <w:rFonts w:ascii="Open Sans" w:hAnsi="Open Sans" w:cs="Open Sans"/>
          <w:bCs/>
          <w:i/>
          <w:iCs/>
        </w:rPr>
        <w:t>Interessenlage ist vergleichbar</w:t>
      </w:r>
      <w:r>
        <w:rPr>
          <w:rFonts w:ascii="Open Sans" w:hAnsi="Open Sans" w:cs="Open Sans"/>
          <w:bCs/>
        </w:rPr>
        <w:t>, wenn sich beide Sachverhalte in allen wesentlichen Merkmalen gleichen.</w:t>
      </w:r>
    </w:p>
    <w:p w14:paraId="1A9EDE10" w14:textId="77777777" w:rsidR="00B57BC6" w:rsidRDefault="00B57BC6" w:rsidP="00560D75">
      <w:pPr>
        <w:jc w:val="both"/>
        <w:rPr>
          <w:rFonts w:ascii="Open Sans" w:hAnsi="Open Sans" w:cs="Open Sans"/>
          <w:bCs/>
        </w:rPr>
      </w:pPr>
    </w:p>
    <w:p w14:paraId="3E89A247" w14:textId="77777777" w:rsidR="00B57BC6" w:rsidRDefault="00B57BC6" w:rsidP="00560D75">
      <w:pPr>
        <w:jc w:val="both"/>
        <w:rPr>
          <w:rFonts w:ascii="Open Sans" w:hAnsi="Open Sans" w:cs="Open Sans"/>
          <w:bCs/>
        </w:rPr>
      </w:pPr>
    </w:p>
    <w:p w14:paraId="41E1E2C8" w14:textId="011FDDB9" w:rsidR="00560D75" w:rsidRDefault="00560D75" w:rsidP="00560D75">
      <w:pPr>
        <w:jc w:val="both"/>
        <w:rPr>
          <w:rFonts w:ascii="Open Sans" w:hAnsi="Open Sans" w:cs="Open Sans"/>
          <w:bCs/>
        </w:rPr>
      </w:pPr>
      <w:r>
        <w:rPr>
          <w:rFonts w:ascii="Open Sans" w:hAnsi="Open Sans" w:cs="Open Sans"/>
          <w:bCs/>
        </w:rPr>
        <w:lastRenderedPageBreak/>
        <w:t>Planwidrige Regelungslücke</w:t>
      </w:r>
    </w:p>
    <w:p w14:paraId="0882A8FD" w14:textId="2D0E70D5" w:rsidR="00560D75" w:rsidRDefault="00C06400" w:rsidP="00C06400">
      <w:pPr>
        <w:ind w:left="2124" w:firstLine="6"/>
        <w:jc w:val="both"/>
        <w:rPr>
          <w:rFonts w:ascii="Open Sans" w:hAnsi="Open Sans" w:cs="Open Sans"/>
          <w:bCs/>
        </w:rPr>
      </w:pPr>
      <w:r>
        <w:rPr>
          <w:rFonts w:ascii="Open Sans" w:hAnsi="Open Sans" w:cs="Open Sans"/>
          <w:bCs/>
        </w:rPr>
        <w:t xml:space="preserve">Eine </w:t>
      </w:r>
      <w:r w:rsidRPr="00C06400">
        <w:rPr>
          <w:rFonts w:ascii="Open Sans" w:hAnsi="Open Sans" w:cs="Open Sans"/>
          <w:bCs/>
          <w:i/>
          <w:iCs/>
        </w:rPr>
        <w:t>Regelungslücke</w:t>
      </w:r>
      <w:r>
        <w:rPr>
          <w:rFonts w:ascii="Open Sans" w:hAnsi="Open Sans" w:cs="Open Sans"/>
          <w:bCs/>
        </w:rPr>
        <w:t xml:space="preserve"> liegt vor, wenn der konkrete Sachverhalt nicht geregelt ist, sich also nicht unter den Gesetzeswortlaut subsumieren lässt. </w:t>
      </w:r>
      <w:r w:rsidRPr="00C06400">
        <w:rPr>
          <w:rFonts w:ascii="Open Sans" w:hAnsi="Open Sans" w:cs="Open Sans"/>
          <w:bCs/>
          <w:i/>
          <w:iCs/>
        </w:rPr>
        <w:t>Planwidrig</w:t>
      </w:r>
      <w:r>
        <w:rPr>
          <w:rFonts w:ascii="Open Sans" w:hAnsi="Open Sans" w:cs="Open Sans"/>
          <w:bCs/>
        </w:rPr>
        <w:t xml:space="preserve"> ist dies dann, wenn davon auszugehen ist, dass der Gesetzgeber diesen konkreten Sachverhalt geregelt hätte, wenn er ihn bedacht hätte.</w:t>
      </w:r>
    </w:p>
    <w:p w14:paraId="0B91DF7A" w14:textId="77777777" w:rsidR="00C06400" w:rsidRDefault="00C06400" w:rsidP="00560D75">
      <w:pPr>
        <w:jc w:val="both"/>
        <w:rPr>
          <w:rFonts w:ascii="Open Sans" w:hAnsi="Open Sans" w:cs="Open Sans"/>
          <w:bCs/>
        </w:rPr>
      </w:pPr>
    </w:p>
    <w:p w14:paraId="7DBDC95F" w14:textId="70BFC2D4" w:rsidR="00560D75" w:rsidRDefault="00560D75" w:rsidP="00560D75">
      <w:pPr>
        <w:jc w:val="both"/>
        <w:rPr>
          <w:rFonts w:ascii="Open Sans" w:hAnsi="Open Sans" w:cs="Open Sans"/>
          <w:bCs/>
        </w:rPr>
      </w:pPr>
      <w:r>
        <w:rPr>
          <w:rFonts w:ascii="Open Sans" w:hAnsi="Open Sans" w:cs="Open Sans"/>
          <w:bCs/>
        </w:rPr>
        <w:t>Analogieverbot</w:t>
      </w:r>
    </w:p>
    <w:p w14:paraId="07A2340F" w14:textId="1BCBB1C8" w:rsidR="00560D75" w:rsidRDefault="00560D75" w:rsidP="00C06400">
      <w:pPr>
        <w:ind w:left="2124" w:firstLine="6"/>
        <w:jc w:val="both"/>
        <w:rPr>
          <w:rFonts w:ascii="Open Sans" w:hAnsi="Open Sans" w:cs="Open Sans"/>
          <w:bCs/>
        </w:rPr>
      </w:pPr>
      <w:r>
        <w:rPr>
          <w:rFonts w:ascii="Open Sans" w:hAnsi="Open Sans" w:cs="Open Sans"/>
          <w:bCs/>
        </w:rPr>
        <w:t xml:space="preserve">Im Strafrecht gilt ein </w:t>
      </w:r>
      <w:r w:rsidRPr="00C06400">
        <w:rPr>
          <w:rFonts w:ascii="Open Sans" w:hAnsi="Open Sans" w:cs="Open Sans"/>
          <w:bCs/>
          <w:i/>
          <w:iCs/>
        </w:rPr>
        <w:t>Analogieverbot</w:t>
      </w:r>
      <w:r>
        <w:rPr>
          <w:rFonts w:ascii="Open Sans" w:hAnsi="Open Sans" w:cs="Open Sans"/>
          <w:bCs/>
        </w:rPr>
        <w:t xml:space="preserve"> zu Lasten des Täters, was sich aus dem Grundsatz „keine Strafe ohne Gesetz“ (nulla poena sine lege) ableitet und </w:t>
      </w:r>
      <w:r w:rsidR="00C06400">
        <w:rPr>
          <w:rFonts w:ascii="Open Sans" w:hAnsi="Open Sans" w:cs="Open Sans"/>
          <w:bCs/>
        </w:rPr>
        <w:t>in § 1 StGB sowie in Art. 103 II GG normiert ist.</w:t>
      </w:r>
    </w:p>
    <w:p w14:paraId="06074F64" w14:textId="41234DBE" w:rsidR="00973E55" w:rsidRDefault="00560D75" w:rsidP="005A1B6D">
      <w:pPr>
        <w:jc w:val="both"/>
        <w:rPr>
          <w:rFonts w:ascii="Open Sans" w:hAnsi="Open Sans" w:cs="Open Sans"/>
          <w:bCs/>
        </w:rPr>
      </w:pPr>
      <w:r>
        <w:rPr>
          <w:rFonts w:ascii="Open Sans" w:hAnsi="Open Sans" w:cs="Open Sans"/>
          <w:bCs/>
        </w:rPr>
        <w:tab/>
      </w:r>
    </w:p>
    <w:p w14:paraId="0A2B178E" w14:textId="6E037ABD" w:rsidR="00C12C64" w:rsidRDefault="00C12C64" w:rsidP="005A1B6D">
      <w:pPr>
        <w:jc w:val="both"/>
        <w:rPr>
          <w:rFonts w:ascii="Open Sans" w:hAnsi="Open Sans" w:cs="Open Sans"/>
          <w:bCs/>
        </w:rPr>
      </w:pPr>
      <w:r>
        <w:rPr>
          <w:rFonts w:ascii="Open Sans" w:hAnsi="Open Sans" w:cs="Open Sans"/>
          <w:bCs/>
        </w:rPr>
        <w:t>Erst-Recht-Schluss</w:t>
      </w:r>
      <w:r w:rsidR="00D80DFB">
        <w:rPr>
          <w:rFonts w:ascii="Open Sans" w:hAnsi="Open Sans" w:cs="Open Sans"/>
          <w:bCs/>
        </w:rPr>
        <w:t xml:space="preserve"> („argumentum a fortiori“)</w:t>
      </w:r>
    </w:p>
    <w:p w14:paraId="168894AE" w14:textId="16FA064D" w:rsidR="00D80DFB" w:rsidRPr="00D80DFB" w:rsidRDefault="00D80DFB" w:rsidP="00967D64">
      <w:pPr>
        <w:ind w:left="2124" w:firstLine="6"/>
        <w:jc w:val="both"/>
        <w:rPr>
          <w:rFonts w:ascii="Open Sans" w:hAnsi="Open Sans" w:cs="Open Sans"/>
          <w:bCs/>
        </w:rPr>
      </w:pPr>
      <w:r>
        <w:rPr>
          <w:rFonts w:ascii="Open Sans" w:hAnsi="Open Sans" w:cs="Open Sans"/>
          <w:bCs/>
        </w:rPr>
        <w:t xml:space="preserve">Es handelt sich bei dem </w:t>
      </w:r>
      <w:r>
        <w:rPr>
          <w:rFonts w:ascii="Open Sans" w:hAnsi="Open Sans" w:cs="Open Sans"/>
          <w:bCs/>
          <w:i/>
        </w:rPr>
        <w:t xml:space="preserve">Erst-Recht-Schluss </w:t>
      </w:r>
      <w:r>
        <w:rPr>
          <w:rFonts w:ascii="Open Sans" w:hAnsi="Open Sans" w:cs="Open Sans"/>
          <w:bCs/>
        </w:rPr>
        <w:t xml:space="preserve">um </w:t>
      </w:r>
      <w:r w:rsidR="00967D64">
        <w:rPr>
          <w:rFonts w:ascii="Open Sans" w:hAnsi="Open Sans" w:cs="Open Sans"/>
          <w:bCs/>
        </w:rPr>
        <w:t>eine Sonderform der Analogie. Der ungeregelte Fall wird versucht wie folgt zu lösen: Wenn „</w:t>
      </w:r>
      <w:proofErr w:type="spellStart"/>
      <w:r w:rsidR="00967D64">
        <w:rPr>
          <w:rFonts w:ascii="Open Sans" w:hAnsi="Open Sans" w:cs="Open Sans"/>
          <w:bCs/>
        </w:rPr>
        <w:t>abc</w:t>
      </w:r>
      <w:proofErr w:type="spellEnd"/>
      <w:r w:rsidR="00967D64">
        <w:rPr>
          <w:rFonts w:ascii="Open Sans" w:hAnsi="Open Sans" w:cs="Open Sans"/>
          <w:bCs/>
        </w:rPr>
        <w:t>“ bereits geregelt ist, dann muss dies doch erst recht für „</w:t>
      </w:r>
      <w:proofErr w:type="spellStart"/>
      <w:r w:rsidR="00967D64">
        <w:rPr>
          <w:rFonts w:ascii="Open Sans" w:hAnsi="Open Sans" w:cs="Open Sans"/>
          <w:bCs/>
        </w:rPr>
        <w:t>cde</w:t>
      </w:r>
      <w:proofErr w:type="spellEnd"/>
      <w:r w:rsidR="00967D64">
        <w:rPr>
          <w:rFonts w:ascii="Open Sans" w:hAnsi="Open Sans" w:cs="Open Sans"/>
          <w:bCs/>
        </w:rPr>
        <w:t>“ gelten.</w:t>
      </w:r>
    </w:p>
    <w:p w14:paraId="58864CFB" w14:textId="44DAF665" w:rsidR="00967D64" w:rsidRDefault="00967D64" w:rsidP="00967D64">
      <w:pPr>
        <w:ind w:left="2832" w:firstLine="3"/>
        <w:jc w:val="both"/>
        <w:rPr>
          <w:rFonts w:ascii="Open Sans" w:hAnsi="Open Sans" w:cs="Open Sans"/>
          <w:bCs/>
        </w:rPr>
      </w:pPr>
      <w:r>
        <w:rPr>
          <w:rFonts w:ascii="Open Sans" w:hAnsi="Open Sans" w:cs="Open Sans"/>
          <w:bCs/>
          <w:i/>
        </w:rPr>
        <w:t xml:space="preserve">Bsp.: </w:t>
      </w:r>
      <w:r>
        <w:rPr>
          <w:rFonts w:ascii="Open Sans" w:hAnsi="Open Sans" w:cs="Open Sans"/>
          <w:bCs/>
        </w:rPr>
        <w:t>Wenn § 244 I Nr. 1 b StGB bereits die Absicht der Verwendung eines Werkzeuges unter Strafe stellt, welches der Täter bei sich führt, dann erst recht auch die</w:t>
      </w:r>
      <w:r w:rsidR="00B57BC6">
        <w:rPr>
          <w:rFonts w:ascii="Open Sans" w:hAnsi="Open Sans" w:cs="Open Sans"/>
          <w:bCs/>
        </w:rPr>
        <w:t xml:space="preserve"> tatsächliche</w:t>
      </w:r>
      <w:r>
        <w:rPr>
          <w:rFonts w:ascii="Open Sans" w:hAnsi="Open Sans" w:cs="Open Sans"/>
          <w:bCs/>
        </w:rPr>
        <w:t xml:space="preserve"> Verwendung.</w:t>
      </w:r>
    </w:p>
    <w:p w14:paraId="668FC044" w14:textId="77777777" w:rsidR="00967D64" w:rsidRDefault="00967D64" w:rsidP="005A1B6D">
      <w:pPr>
        <w:jc w:val="both"/>
        <w:rPr>
          <w:rFonts w:ascii="Open Sans" w:hAnsi="Open Sans" w:cs="Open Sans"/>
          <w:bCs/>
        </w:rPr>
      </w:pPr>
    </w:p>
    <w:p w14:paraId="1FB4E7FF" w14:textId="6DFE9D6F" w:rsidR="00973E55" w:rsidRDefault="00973E55" w:rsidP="005A1B6D">
      <w:pPr>
        <w:jc w:val="both"/>
        <w:rPr>
          <w:rFonts w:ascii="Open Sans" w:hAnsi="Open Sans" w:cs="Open Sans"/>
          <w:bCs/>
        </w:rPr>
      </w:pPr>
      <w:r>
        <w:rPr>
          <w:rFonts w:ascii="Open Sans" w:hAnsi="Open Sans" w:cs="Open Sans"/>
          <w:bCs/>
        </w:rPr>
        <w:t>Umkehrschluss</w:t>
      </w:r>
      <w:r w:rsidR="00C12C64">
        <w:rPr>
          <w:rFonts w:ascii="Open Sans" w:hAnsi="Open Sans" w:cs="Open Sans"/>
          <w:bCs/>
        </w:rPr>
        <w:t xml:space="preserve"> („argumentum e contrario“)</w:t>
      </w:r>
    </w:p>
    <w:p w14:paraId="70DAAA31" w14:textId="43D27507" w:rsidR="00973E55" w:rsidRDefault="00B84863" w:rsidP="00B84863">
      <w:pPr>
        <w:ind w:left="2130"/>
        <w:jc w:val="both"/>
        <w:rPr>
          <w:rFonts w:ascii="Open Sans" w:hAnsi="Open Sans" w:cs="Open Sans"/>
          <w:bCs/>
        </w:rPr>
      </w:pPr>
      <w:r>
        <w:rPr>
          <w:rFonts w:ascii="Open Sans" w:hAnsi="Open Sans" w:cs="Open Sans"/>
          <w:bCs/>
        </w:rPr>
        <w:t xml:space="preserve">Eine Schlussfolgerung wird aus dem logischen </w:t>
      </w:r>
      <w:r w:rsidRPr="00B84863">
        <w:rPr>
          <w:rFonts w:ascii="Open Sans" w:hAnsi="Open Sans" w:cs="Open Sans"/>
          <w:bCs/>
          <w:i/>
          <w:iCs/>
        </w:rPr>
        <w:t xml:space="preserve">Umkehrschluss </w:t>
      </w:r>
      <w:r>
        <w:rPr>
          <w:rFonts w:ascii="Open Sans" w:hAnsi="Open Sans" w:cs="Open Sans"/>
          <w:bCs/>
        </w:rPr>
        <w:t>einer gesetzlichen Regelung getroffen.</w:t>
      </w:r>
    </w:p>
    <w:p w14:paraId="292A232E" w14:textId="6E6CC43D" w:rsidR="00B84863" w:rsidRDefault="00B84863" w:rsidP="00B84863">
      <w:pPr>
        <w:ind w:left="2832" w:firstLine="3"/>
        <w:jc w:val="both"/>
        <w:rPr>
          <w:rFonts w:ascii="Open Sans" w:hAnsi="Open Sans" w:cs="Open Sans"/>
          <w:bCs/>
        </w:rPr>
      </w:pPr>
      <w:r w:rsidRPr="00B84863">
        <w:rPr>
          <w:rFonts w:ascii="Open Sans" w:hAnsi="Open Sans" w:cs="Open Sans"/>
          <w:bCs/>
          <w:i/>
          <w:iCs/>
        </w:rPr>
        <w:t>Bsp.:</w:t>
      </w:r>
      <w:r>
        <w:rPr>
          <w:rFonts w:ascii="Open Sans" w:hAnsi="Open Sans" w:cs="Open Sans"/>
          <w:bCs/>
        </w:rPr>
        <w:t xml:space="preserve"> Aus dem Umkehrschluss des § 687 I, II BGB lässt sich das Erfordernis eines voluntativen und eines kognitiven Elements des Fremdgeschäftsführungswillens für die berechtigte GoA ableiten.</w:t>
      </w:r>
    </w:p>
    <w:p w14:paraId="5EC29088" w14:textId="77777777" w:rsidR="00B84863" w:rsidRDefault="00B84863" w:rsidP="005A1B6D">
      <w:pPr>
        <w:jc w:val="both"/>
        <w:rPr>
          <w:rFonts w:ascii="Open Sans" w:hAnsi="Open Sans" w:cs="Open Sans"/>
          <w:bCs/>
        </w:rPr>
      </w:pPr>
    </w:p>
    <w:p w14:paraId="5E50D8A9" w14:textId="77777777" w:rsidR="00B57BC6" w:rsidRDefault="00B57BC6">
      <w:pPr>
        <w:rPr>
          <w:rFonts w:ascii="Open Sans" w:hAnsi="Open Sans" w:cs="Open Sans"/>
          <w:bCs/>
        </w:rPr>
      </w:pPr>
      <w:r>
        <w:rPr>
          <w:rFonts w:ascii="Open Sans" w:hAnsi="Open Sans" w:cs="Open Sans"/>
          <w:bCs/>
        </w:rPr>
        <w:br w:type="page"/>
      </w:r>
    </w:p>
    <w:p w14:paraId="587BB7FC" w14:textId="1F2B61BA" w:rsidR="00973E55" w:rsidRDefault="00973E55" w:rsidP="005A1B6D">
      <w:pPr>
        <w:jc w:val="both"/>
        <w:rPr>
          <w:rFonts w:ascii="Open Sans" w:hAnsi="Open Sans" w:cs="Open Sans"/>
          <w:bCs/>
        </w:rPr>
      </w:pPr>
      <w:r>
        <w:rPr>
          <w:rFonts w:ascii="Open Sans" w:hAnsi="Open Sans" w:cs="Open Sans"/>
          <w:bCs/>
        </w:rPr>
        <w:lastRenderedPageBreak/>
        <w:t>Teleologische Reduktion</w:t>
      </w:r>
    </w:p>
    <w:p w14:paraId="78FBED28" w14:textId="427D808A" w:rsidR="00C12C64" w:rsidRDefault="00B84863" w:rsidP="004A6420">
      <w:pPr>
        <w:ind w:left="2124" w:firstLine="6"/>
        <w:jc w:val="both"/>
        <w:rPr>
          <w:rFonts w:ascii="Open Sans" w:hAnsi="Open Sans" w:cs="Open Sans"/>
          <w:bCs/>
        </w:rPr>
      </w:pPr>
      <w:r>
        <w:rPr>
          <w:rFonts w:ascii="Open Sans" w:hAnsi="Open Sans" w:cs="Open Sans"/>
          <w:bCs/>
        </w:rPr>
        <w:t xml:space="preserve">Die </w:t>
      </w:r>
      <w:r w:rsidRPr="002C14D9">
        <w:rPr>
          <w:rFonts w:ascii="Open Sans" w:hAnsi="Open Sans" w:cs="Open Sans"/>
          <w:bCs/>
          <w:i/>
          <w:iCs/>
        </w:rPr>
        <w:t>teleologische Reduktion</w:t>
      </w:r>
      <w:r>
        <w:rPr>
          <w:rFonts w:ascii="Open Sans" w:hAnsi="Open Sans" w:cs="Open Sans"/>
          <w:bCs/>
        </w:rPr>
        <w:t xml:space="preserve"> dient der „Verengung“ des Gesetzeswortlautes</w:t>
      </w:r>
      <w:r w:rsidR="004A6420">
        <w:rPr>
          <w:rFonts w:ascii="Open Sans" w:hAnsi="Open Sans" w:cs="Open Sans"/>
          <w:bCs/>
        </w:rPr>
        <w:t xml:space="preserve"> und stellt somit das Gegenteil einer Analogie dar. </w:t>
      </w:r>
    </w:p>
    <w:p w14:paraId="7846A166" w14:textId="48AAD05F" w:rsidR="004A6420" w:rsidRDefault="004A6420" w:rsidP="004A6420">
      <w:pPr>
        <w:ind w:left="2832" w:firstLine="3"/>
        <w:jc w:val="both"/>
        <w:rPr>
          <w:rFonts w:ascii="Open Sans" w:hAnsi="Open Sans" w:cs="Open Sans"/>
          <w:bCs/>
        </w:rPr>
      </w:pPr>
      <w:r>
        <w:rPr>
          <w:rFonts w:ascii="Open Sans" w:hAnsi="Open Sans" w:cs="Open Sans"/>
          <w:bCs/>
          <w:i/>
        </w:rPr>
        <w:t xml:space="preserve">Bsp.: </w:t>
      </w:r>
      <w:r>
        <w:rPr>
          <w:rFonts w:ascii="Open Sans" w:hAnsi="Open Sans" w:cs="Open Sans"/>
          <w:bCs/>
        </w:rPr>
        <w:t xml:space="preserve">§ 181 BGB normiert das Verbot eines Insichgeschäfts. Eine teleologische Reduktion dieser Norm führt dazu, dass Eltern sehr wohl ihrem geschäftsunfähigen Kind ein Geschenk machen können, da sowohl das Verpflichtungsgeschäft (Schenkungsvertrag) als auch die Einigung des Verfügungsgeschäfts nun nicht mehr zu von </w:t>
      </w:r>
      <w:r>
        <w:rPr>
          <w:rFonts w:ascii="Open Sans" w:hAnsi="Open Sans" w:cs="Open Sans"/>
          <w:bCs/>
        </w:rPr>
        <w:br/>
        <w:t>§ 181 BGB vorgegebenen Beschränkungen führt.</w:t>
      </w:r>
    </w:p>
    <w:p w14:paraId="3A8BB671" w14:textId="5E94BF28" w:rsidR="00B84863" w:rsidRDefault="00B84863" w:rsidP="005A1B6D">
      <w:pPr>
        <w:jc w:val="both"/>
        <w:rPr>
          <w:rFonts w:ascii="Open Sans" w:hAnsi="Open Sans" w:cs="Open Sans"/>
          <w:bCs/>
        </w:rPr>
      </w:pPr>
    </w:p>
    <w:p w14:paraId="0B7653BA" w14:textId="77777777" w:rsidR="00B57BC6" w:rsidRDefault="00B57BC6" w:rsidP="005A1B6D">
      <w:pPr>
        <w:jc w:val="both"/>
        <w:rPr>
          <w:rFonts w:ascii="Open Sans" w:hAnsi="Open Sans" w:cs="Open Sans"/>
          <w:bCs/>
        </w:rPr>
      </w:pPr>
    </w:p>
    <w:p w14:paraId="27F1A93E" w14:textId="77777777" w:rsidR="005A1B6D" w:rsidRDefault="005A1B6D" w:rsidP="005A1B6D">
      <w:pPr>
        <w:jc w:val="both"/>
        <w:rPr>
          <w:rFonts w:ascii="Open Sans" w:hAnsi="Open Sans" w:cs="Open Sans"/>
          <w:bCs/>
        </w:rPr>
      </w:pPr>
      <w:r>
        <w:rPr>
          <w:rFonts w:ascii="Open Sans" w:hAnsi="Open Sans" w:cs="Open Sans"/>
          <w:bCs/>
        </w:rPr>
        <w:t>Quellen:</w:t>
      </w:r>
    </w:p>
    <w:p w14:paraId="7D0740E8" w14:textId="12FDC948" w:rsidR="00136845" w:rsidRPr="00136845" w:rsidRDefault="000C511B" w:rsidP="00136845">
      <w:pPr>
        <w:rPr>
          <w:rFonts w:ascii="Open Sans" w:hAnsi="Open Sans" w:cs="Open Sans"/>
        </w:rPr>
      </w:pPr>
      <w:r w:rsidRPr="000C511B">
        <w:rPr>
          <w:rFonts w:ascii="Open Sans" w:hAnsi="Open Sans" w:cs="Open Sans"/>
        </w:rPr>
        <w:t>NJW 2014, 2407</w:t>
      </w:r>
      <w:r>
        <w:rPr>
          <w:rFonts w:ascii="Open Sans" w:hAnsi="Open Sans" w:cs="Open Sans"/>
        </w:rPr>
        <w:t xml:space="preserve"> ff. – Richterliche Rechtsfortbildung.</w:t>
      </w:r>
    </w:p>
    <w:p w14:paraId="5413425E" w14:textId="01E5EB91" w:rsidR="00136845" w:rsidRPr="00136845" w:rsidRDefault="00136845" w:rsidP="00136845">
      <w:pPr>
        <w:rPr>
          <w:rFonts w:ascii="Open Sans" w:hAnsi="Open Sans" w:cs="Open Sans"/>
        </w:rPr>
      </w:pPr>
    </w:p>
    <w:p w14:paraId="6C8ABDDD" w14:textId="24A066C1" w:rsidR="00136845" w:rsidRPr="00136845" w:rsidRDefault="00BF386D" w:rsidP="00A27345">
      <w:pPr>
        <w:tabs>
          <w:tab w:val="left" w:pos="1095"/>
          <w:tab w:val="left" w:pos="6960"/>
        </w:tabs>
        <w:rPr>
          <w:rFonts w:ascii="Open Sans" w:hAnsi="Open Sans" w:cs="Open Sans"/>
        </w:rPr>
      </w:pPr>
      <w:r>
        <w:rPr>
          <w:rFonts w:ascii="Open Sans" w:hAnsi="Open Sans" w:cs="Open Sans"/>
        </w:rPr>
        <w:tab/>
      </w:r>
      <w:r w:rsidR="00A27345">
        <w:rPr>
          <w:rFonts w:ascii="Open Sans" w:hAnsi="Open Sans" w:cs="Open Sans"/>
        </w:rPr>
        <w:tab/>
      </w:r>
    </w:p>
    <w:sectPr w:rsidR="00136845" w:rsidRPr="0013684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4AC4" w14:textId="77777777" w:rsidR="00CC76EF" w:rsidRDefault="00CC76EF" w:rsidP="0041069B">
      <w:pPr>
        <w:spacing w:after="0" w:line="240" w:lineRule="auto"/>
      </w:pPr>
      <w:r>
        <w:separator/>
      </w:r>
    </w:p>
  </w:endnote>
  <w:endnote w:type="continuationSeparator" w:id="0">
    <w:p w14:paraId="382C9366" w14:textId="77777777" w:rsidR="00CC76EF" w:rsidRDefault="00CC76EF"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1" w:name="_Hlk64808829"/>
        <w:bookmarkStart w:id="2"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66D68A62"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1"/>
    <w:bookmarkEnd w:id="2"/>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D948" w14:textId="77777777" w:rsidR="00CC76EF" w:rsidRDefault="00CC76EF" w:rsidP="0041069B">
      <w:pPr>
        <w:spacing w:after="0" w:line="240" w:lineRule="auto"/>
      </w:pPr>
      <w:r>
        <w:separator/>
      </w:r>
    </w:p>
  </w:footnote>
  <w:footnote w:type="continuationSeparator" w:id="0">
    <w:p w14:paraId="1793ED2C" w14:textId="77777777" w:rsidR="00CC76EF" w:rsidRDefault="00CC76EF"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91898451">
    <w:abstractNumId w:val="19"/>
  </w:num>
  <w:num w:numId="2" w16cid:durableId="107048998">
    <w:abstractNumId w:val="4"/>
  </w:num>
  <w:num w:numId="3" w16cid:durableId="1109278955">
    <w:abstractNumId w:val="6"/>
  </w:num>
  <w:num w:numId="4" w16cid:durableId="1750611627">
    <w:abstractNumId w:val="21"/>
  </w:num>
  <w:num w:numId="5" w16cid:durableId="1673994228">
    <w:abstractNumId w:val="24"/>
  </w:num>
  <w:num w:numId="6" w16cid:durableId="374045353">
    <w:abstractNumId w:val="13"/>
  </w:num>
  <w:num w:numId="7" w16cid:durableId="466699963">
    <w:abstractNumId w:val="10"/>
  </w:num>
  <w:num w:numId="8" w16cid:durableId="112599290">
    <w:abstractNumId w:val="16"/>
  </w:num>
  <w:num w:numId="9" w16cid:durableId="780614666">
    <w:abstractNumId w:val="20"/>
  </w:num>
  <w:num w:numId="10" w16cid:durableId="42025839">
    <w:abstractNumId w:val="11"/>
  </w:num>
  <w:num w:numId="11" w16cid:durableId="2021857205">
    <w:abstractNumId w:val="23"/>
  </w:num>
  <w:num w:numId="12" w16cid:durableId="790516923">
    <w:abstractNumId w:val="12"/>
  </w:num>
  <w:num w:numId="13" w16cid:durableId="1589727254">
    <w:abstractNumId w:val="22"/>
  </w:num>
  <w:num w:numId="14" w16cid:durableId="535966224">
    <w:abstractNumId w:val="17"/>
  </w:num>
  <w:num w:numId="15" w16cid:durableId="534078750">
    <w:abstractNumId w:val="9"/>
  </w:num>
  <w:num w:numId="16" w16cid:durableId="1093668767">
    <w:abstractNumId w:val="0"/>
  </w:num>
  <w:num w:numId="17" w16cid:durableId="1148984476">
    <w:abstractNumId w:val="14"/>
  </w:num>
  <w:num w:numId="18" w16cid:durableId="1569417829">
    <w:abstractNumId w:val="2"/>
  </w:num>
  <w:num w:numId="19" w16cid:durableId="956376117">
    <w:abstractNumId w:val="15"/>
  </w:num>
  <w:num w:numId="20" w16cid:durableId="9646635">
    <w:abstractNumId w:val="3"/>
  </w:num>
  <w:num w:numId="21" w16cid:durableId="1249851413">
    <w:abstractNumId w:val="8"/>
  </w:num>
  <w:num w:numId="22" w16cid:durableId="917636459">
    <w:abstractNumId w:val="1"/>
  </w:num>
  <w:num w:numId="23" w16cid:durableId="1434325713">
    <w:abstractNumId w:val="7"/>
  </w:num>
  <w:num w:numId="24" w16cid:durableId="1904825841">
    <w:abstractNumId w:val="18"/>
  </w:num>
  <w:num w:numId="25" w16cid:durableId="1316492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95A02"/>
    <w:rsid w:val="000C511B"/>
    <w:rsid w:val="0010748A"/>
    <w:rsid w:val="00123860"/>
    <w:rsid w:val="00136845"/>
    <w:rsid w:val="0017497A"/>
    <w:rsid w:val="00185932"/>
    <w:rsid w:val="00192777"/>
    <w:rsid w:val="002230EF"/>
    <w:rsid w:val="00241692"/>
    <w:rsid w:val="002577DC"/>
    <w:rsid w:val="00257A0B"/>
    <w:rsid w:val="002877FF"/>
    <w:rsid w:val="00295E1E"/>
    <w:rsid w:val="002C14D9"/>
    <w:rsid w:val="003D5108"/>
    <w:rsid w:val="0041069B"/>
    <w:rsid w:val="00415653"/>
    <w:rsid w:val="0042509F"/>
    <w:rsid w:val="00445655"/>
    <w:rsid w:val="00446D1C"/>
    <w:rsid w:val="00473757"/>
    <w:rsid w:val="004A6420"/>
    <w:rsid w:val="004A7925"/>
    <w:rsid w:val="004F059B"/>
    <w:rsid w:val="00511048"/>
    <w:rsid w:val="00517716"/>
    <w:rsid w:val="00522A4E"/>
    <w:rsid w:val="00560D75"/>
    <w:rsid w:val="00574C17"/>
    <w:rsid w:val="005A1B6D"/>
    <w:rsid w:val="005A556D"/>
    <w:rsid w:val="005E2DC1"/>
    <w:rsid w:val="005F668B"/>
    <w:rsid w:val="006178E1"/>
    <w:rsid w:val="006242E8"/>
    <w:rsid w:val="00685E8F"/>
    <w:rsid w:val="00693D80"/>
    <w:rsid w:val="006B7D18"/>
    <w:rsid w:val="006D77EF"/>
    <w:rsid w:val="006E1970"/>
    <w:rsid w:val="00715314"/>
    <w:rsid w:val="00722F4A"/>
    <w:rsid w:val="00744F0C"/>
    <w:rsid w:val="00756EF3"/>
    <w:rsid w:val="00763B80"/>
    <w:rsid w:val="0077736A"/>
    <w:rsid w:val="007C4C5F"/>
    <w:rsid w:val="007D1C6B"/>
    <w:rsid w:val="007D788D"/>
    <w:rsid w:val="007F54BD"/>
    <w:rsid w:val="00856EB0"/>
    <w:rsid w:val="008616A5"/>
    <w:rsid w:val="008627A7"/>
    <w:rsid w:val="008953F3"/>
    <w:rsid w:val="008959AC"/>
    <w:rsid w:val="008975C9"/>
    <w:rsid w:val="008C7B6C"/>
    <w:rsid w:val="008E352C"/>
    <w:rsid w:val="008E497E"/>
    <w:rsid w:val="00967D64"/>
    <w:rsid w:val="00973E55"/>
    <w:rsid w:val="009A223F"/>
    <w:rsid w:val="009A7135"/>
    <w:rsid w:val="009B5901"/>
    <w:rsid w:val="00A07F0F"/>
    <w:rsid w:val="00A27345"/>
    <w:rsid w:val="00A60D0D"/>
    <w:rsid w:val="00A6156E"/>
    <w:rsid w:val="00A84793"/>
    <w:rsid w:val="00AE748B"/>
    <w:rsid w:val="00B20871"/>
    <w:rsid w:val="00B319F6"/>
    <w:rsid w:val="00B57BC6"/>
    <w:rsid w:val="00B65D0D"/>
    <w:rsid w:val="00B7208C"/>
    <w:rsid w:val="00B84863"/>
    <w:rsid w:val="00B913B7"/>
    <w:rsid w:val="00BB2365"/>
    <w:rsid w:val="00BE13DA"/>
    <w:rsid w:val="00BF386D"/>
    <w:rsid w:val="00C06400"/>
    <w:rsid w:val="00C10EEE"/>
    <w:rsid w:val="00C12C64"/>
    <w:rsid w:val="00C156DF"/>
    <w:rsid w:val="00C2164B"/>
    <w:rsid w:val="00C35596"/>
    <w:rsid w:val="00C71130"/>
    <w:rsid w:val="00CC76EF"/>
    <w:rsid w:val="00CF47F5"/>
    <w:rsid w:val="00D01277"/>
    <w:rsid w:val="00D15FA7"/>
    <w:rsid w:val="00D36B25"/>
    <w:rsid w:val="00D7007F"/>
    <w:rsid w:val="00D7592C"/>
    <w:rsid w:val="00D76651"/>
    <w:rsid w:val="00D80DFB"/>
    <w:rsid w:val="00DD34DC"/>
    <w:rsid w:val="00DE7393"/>
    <w:rsid w:val="00E00DCA"/>
    <w:rsid w:val="00E235DB"/>
    <w:rsid w:val="00E31E5E"/>
    <w:rsid w:val="00E471C9"/>
    <w:rsid w:val="00E715C3"/>
    <w:rsid w:val="00E950D0"/>
    <w:rsid w:val="00EA4BF1"/>
    <w:rsid w:val="00EB5F48"/>
    <w:rsid w:val="00EE5B5C"/>
    <w:rsid w:val="00EF11AF"/>
    <w:rsid w:val="00F41C05"/>
    <w:rsid w:val="00F51C25"/>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2812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5</cp:revision>
  <cp:lastPrinted>2022-02-19T09:00:00Z</cp:lastPrinted>
  <dcterms:created xsi:type="dcterms:W3CDTF">2022-04-04T09:14:00Z</dcterms:created>
  <dcterms:modified xsi:type="dcterms:W3CDTF">2022-12-23T13:47:00Z</dcterms:modified>
</cp:coreProperties>
</file>