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6"/>
          <w:szCs w:val="36"/>
        </w:rPr>
        <w:t xml:space="preserve">FoodSafe Compliance Informatics Platform (FCIP):</w:t>
      </w:r>
    </w:p>
    <w:p>
      <w:pPr>
        <w:spacing w:after="120" w:before="0"/>
        <w:jc w:val="center"/>
      </w:pPr>
      <w:r>
        <w:rPr>
          <w:rFonts w:ascii="Arial" w:cs="Arial" w:eastAsia="Arial" w:hAnsi="Arial"/>
          <w:b/>
          <w:bCs/>
          <w:color w:val="1F3864"/>
          <w:sz w:val="28"/>
          <w:szCs w:val="28"/>
        </w:rPr>
        <w:t xml:space="preserve">A Technical Framework for AI-Enabled Regulatory Compliance,</w:t>
      </w:r>
    </w:p>
    <w:p>
      <w:pPr>
        <w:spacing w:after="200" w:before="0"/>
        <w:jc w:val="center"/>
      </w:pPr>
      <w:r>
        <w:rPr>
          <w:rFonts w:ascii="Arial" w:cs="Arial" w:eastAsia="Arial" w:hAnsi="Arial"/>
          <w:b/>
          <w:bCs/>
          <w:color w:val="1F3864"/>
          <w:sz w:val="28"/>
          <w:szCs w:val="28"/>
        </w:rPr>
        <w:t xml:space="preserve">Food Safety, and Supply Chain Traceability</w:t>
      </w:r>
    </w:p>
    <w:p>
      <w:pPr>
        <w:spacing w:after="80" w:before="0"/>
        <w:jc w:val="center"/>
      </w:pPr>
      <w:r>
        <w:rPr>
          <w:rFonts w:ascii="Arial" w:cs="Arial" w:eastAsia="Arial" w:hAnsi="Arial"/>
          <w:i/>
          <w:iCs/>
          <w:color w:val="555555"/>
          <w:sz w:val="22"/>
          <w:szCs w:val="22"/>
        </w:rPr>
        <w:t xml:space="preserve">Technical White Paper — Version 1.0</w:t>
      </w:r>
    </w:p>
    <w:p>
      <w:pPr>
        <w:spacing w:after="80" w:before="0"/>
        <w:jc w:val="center"/>
      </w:pPr>
      <w:r>
        <w:rPr>
          <w:rFonts w:ascii="Arial" w:cs="Arial" w:eastAsia="Arial" w:hAnsi="Arial"/>
          <w:b/>
          <w:bCs/>
          <w:sz w:val="24"/>
          <w:szCs w:val="24"/>
        </w:rPr>
        <w:t xml:space="preserve">Janet Kolawole, MSc</w:t>
      </w:r>
    </w:p>
    <w:p>
      <w:pPr>
        <w:spacing w:after="80" w:before="0"/>
        <w:jc w:val="center"/>
      </w:pPr>
      <w:r>
        <w:rPr>
          <w:rFonts w:ascii="Arial" w:cs="Arial" w:eastAsia="Arial" w:hAnsi="Arial"/>
          <w:i/>
          <w:iCs/>
          <w:sz w:val="20"/>
          <w:szCs w:val="20"/>
        </w:rPr>
        <w:t xml:space="preserve">Computational Health Informatics, University of Houston, Houston, TX, USA</w:t>
      </w:r>
    </w:p>
    <w:p>
      <w:pPr>
        <w:spacing w:after="80" w:before="0"/>
        <w:jc w:val="center"/>
      </w:pPr>
      <w:r>
        <w:rPr>
          <w:rFonts w:ascii="Arial" w:cs="Arial" w:eastAsia="Arial" w:hAnsi="Arial"/>
          <w:sz w:val="20"/>
          <w:szCs w:val="20"/>
        </w:rPr>
        <w:t xml:space="preserve">Correspondence: janelandnet@gmail.com</w:t>
      </w:r>
    </w:p>
    <w:p>
      <w:pPr>
        <w:spacing w:after="80" w:before="0"/>
        <w:jc w:val="center"/>
      </w:pPr>
      <w:r>
        <w:rPr>
          <w:rFonts w:ascii="Arial" w:cs="Arial" w:eastAsia="Arial" w:hAnsi="Arial"/>
          <w:sz w:val="20"/>
          <w:szCs w:val="20"/>
        </w:rPr>
        <w:t xml:space="preserve">Project Repository: github.com/janelandnet-code/foodsafe-compliance-intelligence</w:t>
      </w:r>
    </w:p>
    <w:p>
      <w:pPr>
        <w:spacing w:after="80" w:before="0"/>
        <w:jc w:val="center"/>
      </w:pPr>
      <w:r>
        <w:rPr>
          <w:rFonts w:ascii="Arial" w:cs="Arial" w:eastAsia="Arial" w:hAnsi="Arial"/>
          <w:sz w:val="20"/>
          <w:szCs w:val="20"/>
        </w:rPr>
        <w:t xml:space="preserve">Kaggle: kaggle.com/beannygoldbrand</w:t>
      </w:r>
    </w:p>
    <w:p>
      <w:pPr>
        <w:spacing w:after="400" w:before="0"/>
        <w:jc w:val="center"/>
      </w:pPr>
      <w:r>
        <w:rPr>
          <w:rFonts w:ascii="Arial" w:cs="Arial" w:eastAsia="Arial" w:hAnsi="Arial"/>
          <w:i/>
          <w:iCs/>
          <w:color w:val="888888"/>
          <w:sz w:val="20"/>
          <w:szCs w:val="20"/>
        </w:rPr>
        <w:t xml:space="preserve">Version 1.0 | Prepared July 2026</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Abstract</w:t>
      </w:r>
    </w:p>
    <w:p>
      <w:pPr>
        <w:spacing w:after="100" w:before="100" w:line="360"/>
        <w:jc w:val="both"/>
      </w:pPr>
      <w:r>
        <w:rPr>
          <w:rFonts w:ascii="Arial" w:cs="Arial" w:eastAsia="Arial" w:hAnsi="Arial"/>
          <w:sz w:val="22"/>
          <w:szCs w:val="22"/>
        </w:rPr>
        <w:t xml:space="preserve">Cross-border importation of food and health products into the United States remains constrained by significant regulatory compliance barriers, particularly for small and medium-sized producers in developing economies supplying culturally relevant products to immigrant and underserved communities. Despite established FDA and USDA regulatory frameworks, the absence of accessible, data-driven compliance infrastructure results in preventable port-of-entry delays, supply chain opacity, and disproportionate public health risks for vulnerable populations.</w:t>
      </w:r>
    </w:p>
    <w:p>
      <w:pPr>
        <w:spacing w:after="100" w:before="100" w:line="360"/>
        <w:jc w:val="both"/>
      </w:pPr>
      <w:r>
        <w:rPr>
          <w:rFonts w:ascii="Arial" w:cs="Arial" w:eastAsia="Arial" w:hAnsi="Arial"/>
          <w:sz w:val="22"/>
          <w:szCs w:val="22"/>
        </w:rPr>
        <w:t xml:space="preserve">This white paper describes the FoodSafe Compliance Informatics Platform (FCIP) — an AI-enabled health informatics platform applying established predictive modeling methodologies to food safety compliance risk assessment and regulatory gap identification. FCIP integrates four functional modules: compliance risk screening, compliance documentation intelligence, supply chain traceability infrastructure, and public health and regulatory intelligence. The platform is designed to enable pre-arrival compliance validation, standardize documentation across regulatory environments, and generate population-level food safety analytics — advancing U.S. food safety protection, cross-border trade efficiency, and public health equity for underserved communities.</w:t>
      </w:r>
    </w:p>
    <w:p>
      <w:pPr>
        <w:spacing w:after="60" w:before="60"/>
      </w:pPr>
      <w:r>
        <w:t xml:space="preserve"/>
      </w:r>
    </w:p>
    <w:p>
      <w:pPr>
        <w:spacing w:after="200" w:before="100"/>
      </w:pPr>
      <w:r>
        <w:rPr>
          <w:rFonts w:ascii="Arial" w:cs="Arial" w:eastAsia="Arial" w:hAnsi="Arial"/>
          <w:b/>
          <w:bCs/>
          <w:sz w:val="20"/>
          <w:szCs w:val="20"/>
        </w:rPr>
        <w:t xml:space="preserve">Keywords: </w:t>
      </w:r>
      <w:r>
        <w:rPr>
          <w:rFonts w:ascii="Arial" w:cs="Arial" w:eastAsia="Arial" w:hAnsi="Arial"/>
          <w:i/>
          <w:iCs/>
          <w:sz w:val="20"/>
          <w:szCs w:val="20"/>
        </w:rPr>
        <w:t xml:space="preserve">health informatics, FDA compliance, food safety, supply chain traceability, machine learning, SHAP explainability, cross-border trade, regulatory technology, underserved communities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1. Introduction</w:t>
      </w:r>
    </w:p>
    <w:p>
      <w:pPr>
        <w:pStyle w:val="Heading2"/>
        <w:spacing w:after="120" w:before="240"/>
      </w:pPr>
      <w:r>
        <w:rPr>
          <w:rFonts w:ascii="Arial" w:cs="Arial" w:eastAsia="Arial" w:hAnsi="Arial"/>
          <w:b/>
          <w:bCs/>
          <w:color w:val="2E75B6"/>
          <w:sz w:val="24"/>
          <w:szCs w:val="24"/>
        </w:rPr>
        <w:t xml:space="preserve">1.1 Background and Problem Statement</w:t>
      </w:r>
    </w:p>
    <w:p>
      <w:pPr>
        <w:spacing w:after="100" w:before="100" w:line="360"/>
        <w:jc w:val="both"/>
      </w:pPr>
      <w:r>
        <w:rPr>
          <w:rFonts w:ascii="Arial" w:cs="Arial" w:eastAsia="Arial" w:hAnsi="Arial"/>
          <w:sz w:val="22"/>
          <w:szCs w:val="22"/>
        </w:rPr>
        <w:t xml:space="preserve">The United States food import system processes a large volume of shipments annually from global suppliers, yet significant regulatory compliance gaps persist — particularly among small and medium-sized producers in developing economies. These producers supply culturally relevant food and health products to growing immigrant and underserved communities across the United States, yet lack accessible tools to navigate complex FDA and USDA regulatory requirements prior to market entry.</w:t>
      </w:r>
    </w:p>
    <w:p>
      <w:pPr>
        <w:spacing w:after="100" w:before="100" w:line="360"/>
        <w:jc w:val="both"/>
      </w:pPr>
      <w:r>
        <w:rPr>
          <w:rFonts w:ascii="Arial" w:cs="Arial" w:eastAsia="Arial" w:hAnsi="Arial"/>
          <w:sz w:val="22"/>
          <w:szCs w:val="22"/>
        </w:rPr>
        <w:t xml:space="preserve">The consequence is a cycle of preventable compliance failures, supply chain opacity, product detentions, and disproportionate public health risks concentrated among vulnerable populations who depend on these products for cultural, nutritional, and economic reasons.</w:t>
      </w:r>
    </w:p>
    <w:p>
      <w:pPr>
        <w:spacing w:after="100" w:before="100" w:line="360"/>
        <w:jc w:val="both"/>
      </w:pPr>
      <w:r>
        <w:rPr>
          <w:rFonts w:ascii="Arial" w:cs="Arial" w:eastAsia="Arial" w:hAnsi="Arial"/>
          <w:sz w:val="22"/>
          <w:szCs w:val="22"/>
        </w:rPr>
        <w:t xml:space="preserve">Despite advances in health informatics, artificial intelligence, and digital compliance systems, these technologies have been applied primarily within clinical healthcare settings — leaving international food safety and cross-border trade compliance largely underserved by modern data-driven infrastructure. The result is a documented gap between the sophistication of U.S. regulatory frameworks and the technological capacity of global suppliers attempting to meet them.</w:t>
      </w:r>
    </w:p>
    <w:p>
      <w:pPr>
        <w:pStyle w:val="Heading2"/>
        <w:spacing w:after="120" w:before="240"/>
      </w:pPr>
      <w:r>
        <w:rPr>
          <w:rFonts w:ascii="Arial" w:cs="Arial" w:eastAsia="Arial" w:hAnsi="Arial"/>
          <w:b/>
          <w:bCs/>
          <w:color w:val="2E75B6"/>
          <w:sz w:val="24"/>
          <w:szCs w:val="24"/>
        </w:rPr>
        <w:t xml:space="preserve">1.2 Significance of the Problem</w:t>
      </w:r>
    </w:p>
    <w:p>
      <w:pPr>
        <w:spacing w:after="100" w:before="100" w:line="360"/>
        <w:jc w:val="both"/>
      </w:pPr>
      <w:r>
        <w:rPr>
          <w:rFonts w:ascii="Arial" w:cs="Arial" w:eastAsia="Arial" w:hAnsi="Arial"/>
          <w:sz w:val="22"/>
          <w:szCs w:val="22"/>
        </w:rPr>
        <w:t xml:space="preserve">FDA import refusals disproportionately affect producers from developing economies who lack institutional knowledge of U.S. regulatory pathways. Food safety violations — including labeling failures, contamination risks, and documentation gaps — represent the most common grounds for shipment refusal (FDA Import Refusal Reports, 2023). For underserved communities in the United States, these refusals translate directly into reduced access to culturally appropriate food products, increased reliance on unregulated alternatives, and compounded nutritional and public health disparities.</w:t>
      </w:r>
    </w:p>
    <w:p>
      <w:pPr>
        <w:spacing w:after="100" w:before="100" w:line="360"/>
        <w:jc w:val="both"/>
      </w:pPr>
      <w:r>
        <w:rPr>
          <w:rFonts w:ascii="Arial" w:cs="Arial" w:eastAsia="Arial" w:hAnsi="Arial"/>
          <w:sz w:val="22"/>
          <w:szCs w:val="22"/>
        </w:rPr>
        <w:t xml:space="preserve">At the same time, the United States government has identified expansion of African trade relationships as a national economic priority through the African Growth and Opportunity Act (AGOA) and the Prosper Africa initiative. Closing the regulatory compliance gap for African food producers is therefore both a public health imperative and a national economic interest aligned with documented U.S. trade policy objectives.</w:t>
      </w:r>
    </w:p>
    <w:p>
      <w:pPr>
        <w:pStyle w:val="Heading2"/>
        <w:spacing w:after="120" w:before="240"/>
      </w:pPr>
      <w:r>
        <w:rPr>
          <w:rFonts w:ascii="Arial" w:cs="Arial" w:eastAsia="Arial" w:hAnsi="Arial"/>
          <w:b/>
          <w:bCs/>
          <w:color w:val="2E75B6"/>
          <w:sz w:val="24"/>
          <w:szCs w:val="24"/>
        </w:rPr>
        <w:t xml:space="preserve">1.3 Gap in Existing Solutions</w:t>
      </w:r>
    </w:p>
    <w:p>
      <w:pPr>
        <w:spacing w:after="100" w:before="100" w:line="360"/>
        <w:jc w:val="both"/>
      </w:pPr>
      <w:r>
        <w:rPr>
          <w:rFonts w:ascii="Arial" w:cs="Arial" w:eastAsia="Arial" w:hAnsi="Arial"/>
          <w:sz w:val="22"/>
          <w:szCs w:val="22"/>
        </w:rPr>
        <w:t xml:space="preserve">Current compliance support mechanisms are fragmented, inaccessible, and non-scalable. Existing approaches rely on:</w:t>
      </w:r>
    </w:p>
    <w:p>
      <w:pPr>
        <w:pStyle w:val="ListParagraph"/>
        <w:numPr>
          <w:ilvl w:val="0"/>
          <w:numId w:val="2"/>
        </w:numPr>
        <w:spacing w:after="60" w:before="60"/>
      </w:pPr>
      <w:r>
        <w:rPr>
          <w:rFonts w:ascii="Arial" w:cs="Arial" w:eastAsia="Arial" w:hAnsi="Arial"/>
          <w:sz w:val="22"/>
          <w:szCs w:val="22"/>
        </w:rPr>
        <w:t xml:space="preserve">Manual documentation review by compliance consultants</w:t>
      </w:r>
    </w:p>
    <w:p>
      <w:pPr>
        <w:pStyle w:val="ListParagraph"/>
        <w:numPr>
          <w:ilvl w:val="0"/>
          <w:numId w:val="2"/>
        </w:numPr>
        <w:spacing w:after="60" w:before="60"/>
      </w:pPr>
      <w:r>
        <w:rPr>
          <w:rFonts w:ascii="Arial" w:cs="Arial" w:eastAsia="Arial" w:hAnsi="Arial"/>
          <w:sz w:val="22"/>
          <w:szCs w:val="22"/>
        </w:rPr>
        <w:t xml:space="preserve">Costly third-party laboratory testing without predictive risk screening</w:t>
      </w:r>
    </w:p>
    <w:p>
      <w:pPr>
        <w:pStyle w:val="ListParagraph"/>
        <w:numPr>
          <w:ilvl w:val="0"/>
          <w:numId w:val="2"/>
        </w:numPr>
        <w:spacing w:after="60" w:before="60"/>
      </w:pPr>
      <w:r>
        <w:rPr>
          <w:rFonts w:ascii="Arial" w:cs="Arial" w:eastAsia="Arial" w:hAnsi="Arial"/>
          <w:sz w:val="22"/>
          <w:szCs w:val="22"/>
        </w:rPr>
        <w:t xml:space="preserve">Static regulatory guidance documents not adapted for low-resource producers</w:t>
      </w:r>
    </w:p>
    <w:p>
      <w:pPr>
        <w:pStyle w:val="ListParagraph"/>
        <w:numPr>
          <w:ilvl w:val="0"/>
          <w:numId w:val="2"/>
        </w:numPr>
        <w:spacing w:after="60" w:before="60"/>
      </w:pPr>
      <w:r>
        <w:rPr>
          <w:rFonts w:ascii="Arial" w:cs="Arial" w:eastAsia="Arial" w:hAnsi="Arial"/>
          <w:sz w:val="22"/>
          <w:szCs w:val="22"/>
        </w:rPr>
        <w:t xml:space="preserve">No integrated traceability systems connecting producer records to FDA import databases</w:t>
      </w:r>
    </w:p>
    <w:p>
      <w:pPr>
        <w:spacing w:after="100" w:before="100" w:line="360"/>
        <w:jc w:val="both"/>
      </w:pPr>
      <w:r>
        <w:rPr>
          <w:rFonts w:ascii="Arial" w:cs="Arial" w:eastAsia="Arial" w:hAnsi="Arial"/>
          <w:sz w:val="22"/>
          <w:szCs w:val="22"/>
        </w:rPr>
        <w:t xml:space="preserve">To the author's knowledge, no publicly documented AI-enabled pre-arrival compliance platform specifically designed for small and medium-sized producers in developing economies targeting FDA-regulated markets has been identified.</w:t>
      </w:r>
    </w:p>
    <w:p>
      <w:pPr>
        <w:pStyle w:val="Heading2"/>
        <w:spacing w:after="120" w:before="240"/>
      </w:pPr>
      <w:r>
        <w:rPr>
          <w:rFonts w:ascii="Arial" w:cs="Arial" w:eastAsia="Arial" w:hAnsi="Arial"/>
          <w:b/>
          <w:bCs/>
          <w:color w:val="2E75B6"/>
          <w:sz w:val="24"/>
          <w:szCs w:val="24"/>
        </w:rPr>
        <w:t xml:space="preserve">1.4 Proposed Solution</w:t>
      </w:r>
    </w:p>
    <w:p>
      <w:pPr>
        <w:spacing w:after="100" w:before="100" w:line="360"/>
        <w:jc w:val="both"/>
      </w:pPr>
      <w:r>
        <w:rPr>
          <w:rFonts w:ascii="Arial" w:cs="Arial" w:eastAsia="Arial" w:hAnsi="Arial"/>
          <w:sz w:val="22"/>
          <w:szCs w:val="22"/>
        </w:rPr>
        <w:t xml:space="preserve">This white paper proposes FCIP — an AI-enabled health informatics platform combining machine learning-based compliance risk screening, compliance documentation intelligence, supply chain traceability infrastructure, and public health and regulatory analytics. The platform draws on validated predictive modeling methodologies from clinical health informatics and adapts them to food safety risk assessment, regulatory gap identification, and import compliance monitoring.</w:t>
      </w:r>
    </w:p>
    <w:p>
      <w:pPr>
        <w:pStyle w:val="Heading2"/>
        <w:spacing w:after="120" w:before="240"/>
      </w:pPr>
      <w:r>
        <w:rPr>
          <w:rFonts w:ascii="Arial" w:cs="Arial" w:eastAsia="Arial" w:hAnsi="Arial"/>
          <w:b/>
          <w:bCs/>
          <w:color w:val="2E75B6"/>
          <w:sz w:val="24"/>
          <w:szCs w:val="24"/>
        </w:rPr>
        <w:t xml:space="preserve">1.5 Objectives</w:t>
      </w:r>
    </w:p>
    <w:p>
      <w:pPr>
        <w:spacing w:after="100" w:before="100" w:line="360"/>
        <w:jc w:val="both"/>
      </w:pPr>
      <w:r>
        <w:rPr>
          <w:rFonts w:ascii="Arial" w:cs="Arial" w:eastAsia="Arial" w:hAnsi="Arial"/>
          <w:sz w:val="22"/>
          <w:szCs w:val="22"/>
        </w:rPr>
        <w:t xml:space="preserve">This white paper aims to:</w:t>
      </w:r>
    </w:p>
    <w:p>
      <w:pPr>
        <w:pStyle w:val="ListParagraph"/>
        <w:numPr>
          <w:ilvl w:val="0"/>
          <w:numId w:val="3"/>
        </w:numPr>
        <w:spacing w:after="60" w:before="60"/>
      </w:pPr>
      <w:r>
        <w:rPr>
          <w:rFonts w:ascii="Arial" w:cs="Arial" w:eastAsia="Arial" w:hAnsi="Arial"/>
          <w:sz w:val="22"/>
          <w:szCs w:val="22"/>
        </w:rPr>
        <w:t xml:space="preserve">Characterize the regulatory compliance gap facing food producers seeking U.S. market entry</w:t>
      </w:r>
    </w:p>
    <w:p>
      <w:pPr>
        <w:pStyle w:val="ListParagraph"/>
        <w:numPr>
          <w:ilvl w:val="0"/>
          <w:numId w:val="3"/>
        </w:numPr>
        <w:spacing w:after="60" w:before="60"/>
      </w:pPr>
      <w:r>
        <w:rPr>
          <w:rFonts w:ascii="Arial" w:cs="Arial" w:eastAsia="Arial" w:hAnsi="Arial"/>
          <w:sz w:val="22"/>
          <w:szCs w:val="22"/>
        </w:rPr>
        <w:t xml:space="preserve">Describe the FCIP framework and its four functional modules</w:t>
      </w:r>
    </w:p>
    <w:p>
      <w:pPr>
        <w:pStyle w:val="ListParagraph"/>
        <w:numPr>
          <w:ilvl w:val="0"/>
          <w:numId w:val="3"/>
        </w:numPr>
        <w:spacing w:after="60" w:before="60"/>
      </w:pPr>
      <w:r>
        <w:rPr>
          <w:rFonts w:ascii="Arial" w:cs="Arial" w:eastAsia="Arial" w:hAnsi="Arial"/>
          <w:sz w:val="22"/>
          <w:szCs w:val="22"/>
        </w:rPr>
        <w:t xml:space="preserve">Demonstrate the applicability of machine learning methodologies — validated in clinical health informatics — to food safety compliance risk prediction</w:t>
      </w:r>
    </w:p>
    <w:p>
      <w:pPr>
        <w:pStyle w:val="ListParagraph"/>
        <w:numPr>
          <w:ilvl w:val="0"/>
          <w:numId w:val="3"/>
        </w:numPr>
        <w:spacing w:after="60" w:before="60"/>
      </w:pPr>
      <w:r>
        <w:rPr>
          <w:rFonts w:ascii="Arial" w:cs="Arial" w:eastAsia="Arial" w:hAnsi="Arial"/>
          <w:sz w:val="22"/>
          <w:szCs w:val="22"/>
        </w:rPr>
        <w:t xml:space="preserve">Outline the public health and economic implications of scalable compliance infrastructure for underserved communities</w:t>
      </w:r>
    </w:p>
    <w:p>
      <w:pPr>
        <w:pStyle w:val="ListParagraph"/>
        <w:numPr>
          <w:ilvl w:val="0"/>
          <w:numId w:val="3"/>
        </w:numPr>
        <w:spacing w:after="60" w:before="60"/>
      </w:pPr>
      <w:r>
        <w:rPr>
          <w:rFonts w:ascii="Arial" w:cs="Arial" w:eastAsia="Arial" w:hAnsi="Arial"/>
          <w:sz w:val="22"/>
          <w:szCs w:val="22"/>
        </w:rPr>
        <w:t xml:space="preserve">Establish a foundation for prototype development, validation, and deployment</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2. Health Informatics Foundation</w:t>
      </w:r>
    </w:p>
    <w:p>
      <w:pPr>
        <w:spacing w:after="100" w:before="100" w:line="360"/>
        <w:jc w:val="both"/>
      </w:pPr>
      <w:r>
        <w:rPr>
          <w:rFonts w:ascii="Arial" w:cs="Arial" w:eastAsia="Arial" w:hAnsi="Arial"/>
          <w:sz w:val="22"/>
          <w:szCs w:val="22"/>
        </w:rPr>
        <w:t xml:space="preserve">FCIP is grounded in the field of health informatics — the discipline concerned with the collection, integration, analysis, and application of data to support decision-making, improve outcomes, and strengthen complex systems (Shortliffe &amp; Cimino, 2014). While health informatics methodologies are traditionally applied in clinical and healthcare settings, they are equally applicable to food safety and regulatory environments where public health protection depends on timely, accurate, and actionable information.</w:t>
      </w:r>
    </w:p>
    <w:p>
      <w:pPr>
        <w:spacing w:after="100" w:before="100" w:line="360"/>
        <w:jc w:val="both"/>
      </w:pPr>
      <w:r>
        <w:rPr>
          <w:rFonts w:ascii="Arial" w:cs="Arial" w:eastAsia="Arial" w:hAnsi="Arial"/>
          <w:sz w:val="22"/>
          <w:szCs w:val="22"/>
        </w:rPr>
        <w:t xml:space="preserve">FCIP applies the following core health informatics principles:</w:t>
      </w:r>
    </w:p>
    <w:p>
      <w:pPr>
        <w:spacing w:after="60" w:before="60"/>
      </w:pPr>
      <w:r>
        <w:t xml:space="preserve"/>
      </w:r>
    </w:p>
    <w:p>
      <w:pPr>
        <w:spacing w:after="100" w:before="100" w:line="360"/>
        <w:jc w:val="both"/>
      </w:pPr>
      <w:r>
        <w:rPr>
          <w:rFonts w:ascii="Arial" w:cs="Arial" w:eastAsia="Arial" w:hAnsi="Arial"/>
          <w:b/>
          <w:bCs/>
          <w:sz w:val="22"/>
          <w:szCs w:val="22"/>
        </w:rPr>
        <w:t xml:space="preserve">Predictive analytics — </w:t>
      </w:r>
      <w:r>
        <w:rPr>
          <w:rFonts w:ascii="Arial" w:cs="Arial" w:eastAsia="Arial" w:hAnsi="Arial"/>
          <w:sz w:val="22"/>
          <w:szCs w:val="22"/>
        </w:rPr>
        <w:t xml:space="preserve">Using machine learning models to identify compliance risks before shipment departure, enabling pre-arrival intervention.</w:t>
      </w:r>
    </w:p>
    <w:p>
      <w:pPr>
        <w:spacing w:after="100" w:before="100" w:line="360"/>
        <w:jc w:val="both"/>
      </w:pPr>
      <w:r>
        <w:rPr>
          <w:rFonts w:ascii="Arial" w:cs="Arial" w:eastAsia="Arial" w:hAnsi="Arial"/>
          <w:b/>
          <w:bCs/>
          <w:sz w:val="22"/>
          <w:szCs w:val="22"/>
        </w:rPr>
        <w:t xml:space="preserve">Risk stratification — </w:t>
      </w:r>
      <w:r>
        <w:rPr>
          <w:rFonts w:ascii="Arial" w:cs="Arial" w:eastAsia="Arial" w:hAnsi="Arial"/>
          <w:sz w:val="22"/>
          <w:szCs w:val="22"/>
        </w:rPr>
        <w:t xml:space="preserve">Prioritizing shipments according to likelihood of regulatory deficiencies, food safety concerns, or documentation gaps, consistent with established health risk stratification approaches.</w:t>
      </w:r>
    </w:p>
    <w:p>
      <w:pPr>
        <w:spacing w:after="100" w:before="100" w:line="360"/>
        <w:jc w:val="both"/>
      </w:pPr>
      <w:r>
        <w:rPr>
          <w:rFonts w:ascii="Arial" w:cs="Arial" w:eastAsia="Arial" w:hAnsi="Arial"/>
          <w:b/>
          <w:bCs/>
          <w:sz w:val="22"/>
          <w:szCs w:val="22"/>
        </w:rPr>
        <w:t xml:space="preserve">Decision support — </w:t>
      </w:r>
      <w:r>
        <w:rPr>
          <w:rFonts w:ascii="Arial" w:cs="Arial" w:eastAsia="Arial" w:hAnsi="Arial"/>
          <w:sz w:val="22"/>
          <w:szCs w:val="22"/>
        </w:rPr>
        <w:t xml:space="preserve">Providing producers with actionable recommendations that improve regulatory readiness before export, reducing reliance on reactive border enforcement.</w:t>
      </w:r>
    </w:p>
    <w:p>
      <w:pPr>
        <w:spacing w:after="100" w:before="100" w:line="360"/>
        <w:jc w:val="both"/>
      </w:pPr>
      <w:r>
        <w:rPr>
          <w:rFonts w:ascii="Arial" w:cs="Arial" w:eastAsia="Arial" w:hAnsi="Arial"/>
          <w:b/>
          <w:bCs/>
          <w:sz w:val="22"/>
          <w:szCs w:val="22"/>
        </w:rPr>
        <w:t xml:space="preserve">Workflow automation — </w:t>
      </w:r>
      <w:r>
        <w:rPr>
          <w:rFonts w:ascii="Arial" w:cs="Arial" w:eastAsia="Arial" w:hAnsi="Arial"/>
          <w:sz w:val="22"/>
          <w:szCs w:val="22"/>
        </w:rPr>
        <w:t xml:space="preserve">Reducing manual compliance burdens through automated documentation review and validation, implemented using n8n and REST API integration.</w:t>
      </w:r>
    </w:p>
    <w:p>
      <w:pPr>
        <w:spacing w:after="100" w:before="100" w:line="360"/>
        <w:jc w:val="both"/>
      </w:pPr>
      <w:r>
        <w:rPr>
          <w:rFonts w:ascii="Arial" w:cs="Arial" w:eastAsia="Arial" w:hAnsi="Arial"/>
          <w:b/>
          <w:bCs/>
          <w:sz w:val="22"/>
          <w:szCs w:val="22"/>
        </w:rPr>
        <w:t xml:space="preserve">Explainable AI — </w:t>
      </w:r>
      <w:r>
        <w:rPr>
          <w:rFonts w:ascii="Arial" w:cs="Arial" w:eastAsia="Arial" w:hAnsi="Arial"/>
          <w:sz w:val="22"/>
          <w:szCs w:val="22"/>
        </w:rPr>
        <w:t xml:space="preserve">Using SHAP (SHapley Additive exPlanations) for tabular compliance risk models and Grad-CAM for image-based classification to improve transparency and trust in compliance recommendations (LeCun et al., 2015).</w:t>
      </w:r>
    </w:p>
    <w:p>
      <w:pPr>
        <w:spacing w:after="100" w:before="100" w:line="360"/>
        <w:jc w:val="both"/>
      </w:pPr>
      <w:r>
        <w:rPr>
          <w:rFonts w:ascii="Arial" w:cs="Arial" w:eastAsia="Arial" w:hAnsi="Arial"/>
          <w:b/>
          <w:bCs/>
          <w:sz w:val="22"/>
          <w:szCs w:val="22"/>
        </w:rPr>
        <w:t xml:space="preserve">Population-level monitoring — </w:t>
      </w:r>
      <w:r>
        <w:rPr>
          <w:rFonts w:ascii="Arial" w:cs="Arial" w:eastAsia="Arial" w:hAnsi="Arial"/>
          <w:sz w:val="22"/>
          <w:szCs w:val="22"/>
        </w:rPr>
        <w:t xml:space="preserve">Aggregating compliance and traceability data to identify broader trends affecting food safety, trade performance, and public health outcomes — extending FCIP's relevance into national public health surveillance.</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3. Operational Case Evidence</w:t>
      </w:r>
    </w:p>
    <w:p>
      <w:pPr>
        <w:pStyle w:val="Heading2"/>
        <w:spacing w:after="120" w:before="240"/>
      </w:pPr>
      <w:r>
        <w:rPr>
          <w:rFonts w:ascii="Arial" w:cs="Arial" w:eastAsia="Arial" w:hAnsi="Arial"/>
          <w:b/>
          <w:bCs/>
          <w:color w:val="2E75B6"/>
          <w:sz w:val="24"/>
          <w:szCs w:val="24"/>
        </w:rPr>
        <w:t xml:space="preserve">3.1 Overview</w:t>
      </w:r>
    </w:p>
    <w:p>
      <w:pPr>
        <w:spacing w:after="100" w:before="100" w:line="360"/>
        <w:jc w:val="both"/>
      </w:pPr>
      <w:r>
        <w:rPr>
          <w:rFonts w:ascii="Arial" w:cs="Arial" w:eastAsia="Arial" w:hAnsi="Arial"/>
          <w:sz w:val="22"/>
          <w:szCs w:val="22"/>
        </w:rPr>
        <w:t xml:space="preserve">The following operational evidence is drawn from direct professional experience managing international food import compliance for African food products entering the United States, spanning 2008 through 2025. This case evidence serves as primary empirical grounding for the FCIP framework described in Section 4.</w:t>
      </w:r>
    </w:p>
    <w:p>
      <w:pPr>
        <w:pStyle w:val="Heading2"/>
        <w:spacing w:after="120" w:before="240"/>
      </w:pPr>
      <w:r>
        <w:rPr>
          <w:rFonts w:ascii="Arial" w:cs="Arial" w:eastAsia="Arial" w:hAnsi="Arial"/>
          <w:b/>
          <w:bCs/>
          <w:color w:val="2E75B6"/>
          <w:sz w:val="24"/>
          <w:szCs w:val="24"/>
        </w:rPr>
        <w:t xml:space="preserve">3.2 The 2019 FDA Facility Inspection — Origin of the Endeavor</w:t>
      </w:r>
    </w:p>
    <w:p>
      <w:pPr>
        <w:spacing w:after="100" w:before="100" w:line="360"/>
        <w:jc w:val="both"/>
      </w:pPr>
      <w:r>
        <w:rPr>
          <w:rFonts w:ascii="Arial" w:cs="Arial" w:eastAsia="Arial" w:hAnsi="Arial"/>
          <w:sz w:val="22"/>
          <w:szCs w:val="22"/>
        </w:rPr>
        <w:t xml:space="preserve">In 2019, Janeland Networks Limited received formal notification from the U.S. FDA that a physical inspection of its food production facility in Lagos, Nigeria, had been scheduled. The facility had completed local certification through Nigeria's National Agency for Food and Drug Administration and Control (NAFDAC), but no accessible resources existed to prepare for an international FDA inspection. Extensive searches for practical guidance, preparation checklists, or documentation requirements yielded nothing usable.</w:t>
      </w:r>
    </w:p>
    <w:p>
      <w:pPr>
        <w:spacing w:after="100" w:before="100" w:line="360"/>
        <w:jc w:val="both"/>
      </w:pPr>
      <w:r>
        <w:rPr>
          <w:rFonts w:ascii="Arial" w:cs="Arial" w:eastAsia="Arial" w:hAnsi="Arial"/>
          <w:sz w:val="22"/>
          <w:szCs w:val="22"/>
        </w:rPr>
        <w:t xml:space="preserve">The compliance gap was significant enough that NAFDAC had to intervene directly — organizing a dedicated Good Manufacturing Practice (GMP) inspection to prepare the facility for the FDA visit, with a NAFDAC director present to observe the FDA inspection when it occurred. Through that coordinated regulatory engagement, the inspection was a success.</w:t>
      </w:r>
    </w:p>
    <w:p>
      <w:pPr>
        <w:spacing w:after="100" w:before="100" w:line="360"/>
        <w:jc w:val="both"/>
      </w:pPr>
      <w:r>
        <w:rPr>
          <w:rFonts w:ascii="Arial" w:cs="Arial" w:eastAsia="Arial" w:hAnsi="Arial"/>
          <w:sz w:val="22"/>
          <w:szCs w:val="22"/>
        </w:rPr>
        <w:t xml:space="preserve">The experience revealed a fundamental question: why did the manual intervention of two national regulatory bodies bridge a gap that a well-designed digital compliance system should have addressed automatically? Had a pre-arrival compliance platform existed, producers could have accessed FDA requirements, identified compliance gaps, and prepared documentation independently — without requiring extraordinary institutional mobilization. That question is the founding problem FCIP is designed to solve.</w:t>
      </w:r>
    </w:p>
    <w:p>
      <w:pPr>
        <w:pStyle w:val="Heading2"/>
        <w:spacing w:after="120" w:before="240"/>
      </w:pPr>
      <w:r>
        <w:rPr>
          <w:rFonts w:ascii="Arial" w:cs="Arial" w:eastAsia="Arial" w:hAnsi="Arial"/>
          <w:b/>
          <w:bCs/>
          <w:color w:val="2E75B6"/>
          <w:sz w:val="24"/>
          <w:szCs w:val="24"/>
        </w:rPr>
        <w:t xml:space="preserve">3.3 Regulatory Dual-System Challenge</w:t>
      </w:r>
    </w:p>
    <w:p>
      <w:pPr>
        <w:spacing w:after="100" w:before="100" w:line="360"/>
        <w:jc w:val="both"/>
      </w:pPr>
      <w:r>
        <w:rPr>
          <w:rFonts w:ascii="Arial" w:cs="Arial" w:eastAsia="Arial" w:hAnsi="Arial"/>
          <w:sz w:val="22"/>
          <w:szCs w:val="22"/>
        </w:rPr>
        <w:t xml:space="preserve">Food imports from Nigeria require compliance with two distinct regulatory systems — NAFDAC, governing Nigerian export certification, and the U.S. FDA, governing market entry under FSMA and associated import regulations. While both systems continue to expand digital capabilities, they operate within different regulatory ecosystems, documentation structures, data standards, and compliance workflows. Information generated within one system may not always align seamlessly with the verification and traceability requirements of the other.</w:t>
      </w:r>
    </w:p>
    <w:p>
      <w:pPr>
        <w:spacing w:after="100" w:before="100" w:line="360"/>
        <w:jc w:val="both"/>
      </w:pPr>
      <w:r>
        <w:rPr>
          <w:rFonts w:ascii="Arial" w:cs="Arial" w:eastAsia="Arial" w:hAnsi="Arial"/>
          <w:sz w:val="22"/>
          <w:szCs w:val="22"/>
        </w:rPr>
        <w:t xml:space="preserve">This creates a structural compliance gap that exists not because products are unsafe, but because the documentation systems used to certify compliance at origin are incompatible with the digital verification systems used at destination. This gap is invisible until a shipment reaches a U.S. port — at which point resolution requires manual intervention, port delays, and significant added costs.</w:t>
      </w:r>
    </w:p>
    <w:p>
      <w:pPr>
        <w:pStyle w:val="Heading2"/>
        <w:spacing w:after="120" w:before="240"/>
      </w:pPr>
      <w:r>
        <w:rPr>
          <w:rFonts w:ascii="Arial" w:cs="Arial" w:eastAsia="Arial" w:hAnsi="Arial"/>
          <w:b/>
          <w:bCs/>
          <w:color w:val="2E75B6"/>
          <w:sz w:val="24"/>
          <w:szCs w:val="24"/>
        </w:rPr>
        <w:t xml:space="preserve">3.4 Port-of-Entry Delay — Observed Compliance Deficiencies</w:t>
      </w:r>
    </w:p>
    <w:p>
      <w:pPr>
        <w:spacing w:after="100" w:before="100" w:line="360"/>
        <w:jc w:val="both"/>
      </w:pPr>
      <w:r>
        <w:rPr>
          <w:rFonts w:ascii="Arial" w:cs="Arial" w:eastAsia="Arial" w:hAnsi="Arial"/>
          <w:sz w:val="22"/>
          <w:szCs w:val="22"/>
        </w:rPr>
        <w:t xml:space="preserve">Through direct co-founder involvement and volunteer compliance support, including engagement with shipments to the U.S., the following compliance deficiencies were observed at U.S. ports of entry:</w:t>
      </w:r>
    </w:p>
    <w:p>
      <w:pPr>
        <w:pStyle w:val="ListParagraph"/>
        <w:numPr>
          <w:ilvl w:val="0"/>
          <w:numId w:val="2"/>
        </w:numPr>
        <w:spacing w:after="60" w:before="60"/>
      </w:pPr>
      <w:r>
        <w:rPr>
          <w:rFonts w:ascii="Arial" w:cs="Arial" w:eastAsia="Arial" w:hAnsi="Arial"/>
          <w:sz w:val="22"/>
          <w:szCs w:val="22"/>
        </w:rPr>
        <w:t xml:space="preserve">Documentation gaps between NAFDAC-issued export certificates and FDA-required preventive control verification records</w:t>
      </w:r>
    </w:p>
    <w:p>
      <w:pPr>
        <w:pStyle w:val="ListParagraph"/>
        <w:numPr>
          <w:ilvl w:val="0"/>
          <w:numId w:val="2"/>
        </w:numPr>
        <w:spacing w:after="60" w:before="60"/>
      </w:pPr>
      <w:r>
        <w:rPr>
          <w:rFonts w:ascii="Arial" w:cs="Arial" w:eastAsia="Arial" w:hAnsi="Arial"/>
          <w:sz w:val="22"/>
          <w:szCs w:val="22"/>
        </w:rPr>
        <w:t xml:space="preserve">Labeling discrepancies between origin-country packaging standards and FDA labeling requirements under 21 CFR Part 101</w:t>
      </w:r>
    </w:p>
    <w:p>
      <w:pPr>
        <w:pStyle w:val="ListParagraph"/>
        <w:numPr>
          <w:ilvl w:val="0"/>
          <w:numId w:val="2"/>
        </w:numPr>
        <w:spacing w:after="60" w:before="60"/>
      </w:pPr>
      <w:r>
        <w:rPr>
          <w:rFonts w:ascii="Arial" w:cs="Arial" w:eastAsia="Arial" w:hAnsi="Arial"/>
          <w:sz w:val="22"/>
          <w:szCs w:val="22"/>
        </w:rPr>
        <w:t xml:space="preserve">Absence of supplier verification records required under FSMA's Foreign Supplier Verification Program (FSVP)</w:t>
      </w:r>
    </w:p>
    <w:p>
      <w:pPr>
        <w:pStyle w:val="ListParagraph"/>
        <w:numPr>
          <w:ilvl w:val="0"/>
          <w:numId w:val="2"/>
        </w:numPr>
        <w:spacing w:after="60" w:before="60"/>
      </w:pPr>
      <w:r>
        <w:rPr>
          <w:rFonts w:ascii="Arial" w:cs="Arial" w:eastAsia="Arial" w:hAnsi="Arial"/>
          <w:sz w:val="22"/>
          <w:szCs w:val="22"/>
        </w:rPr>
        <w:t xml:space="preserve">Traceability record gaps preventing automated clearance through FDA's PREDICT risk-scoring system</w:t>
      </w:r>
    </w:p>
    <w:p>
      <w:pPr>
        <w:spacing w:after="100" w:before="100" w:line="360"/>
        <w:jc w:val="both"/>
      </w:pPr>
      <w:r>
        <w:rPr>
          <w:rFonts w:ascii="Arial" w:cs="Arial" w:eastAsia="Arial" w:hAnsi="Arial"/>
          <w:sz w:val="22"/>
          <w:szCs w:val="22"/>
        </w:rPr>
        <w:t xml:space="preserve">Each deficiency was correctable — but only through manual documentation supplementation, direct engagement with FDA import specialists, and extended port holds during which costs continued to accumulate. Critically, every deficiency originated before shipping — in the gap between origin-country compliance documentation and U.S. FDA verification and traceability requirements. Pre-arrival compliance screening would have identified and resolved these gaps before shipment departure.</w:t>
      </w:r>
    </w:p>
    <w:p>
      <w:pPr>
        <w:pStyle w:val="Heading2"/>
        <w:spacing w:after="120" w:before="240"/>
      </w:pPr>
      <w:r>
        <w:rPr>
          <w:rFonts w:ascii="Arial" w:cs="Arial" w:eastAsia="Arial" w:hAnsi="Arial"/>
          <w:b/>
          <w:bCs/>
          <w:color w:val="2E75B6"/>
          <w:sz w:val="24"/>
          <w:szCs w:val="24"/>
        </w:rPr>
        <w:t xml:space="preserve">3.5 Economic Impact on Small Producers and Underserved Communities</w:t>
      </w:r>
    </w:p>
    <w:p>
      <w:pPr>
        <w:spacing w:after="100" w:before="100" w:line="360"/>
        <w:jc w:val="both"/>
      </w:pPr>
      <w:r>
        <w:rPr>
          <w:rFonts w:ascii="Arial" w:cs="Arial" w:eastAsia="Arial" w:hAnsi="Arial"/>
          <w:sz w:val="22"/>
          <w:szCs w:val="22"/>
        </w:rPr>
        <w:t xml:space="preserve">Port delay costs fall disproportionately on small and medium-sized producers — the suppliers most likely to provide culturally relevant food products to immigrant and underserved communities. Unlike large multinational food corporations with dedicated compliance departments and established FDA relationships, small producers often cannot absorb repeated delays and are sometimes forced to withdraw from the U.S. market entirely.</w:t>
      </w:r>
    </w:p>
    <w:p>
      <w:pPr>
        <w:spacing w:after="100" w:before="100" w:line="360"/>
        <w:jc w:val="both"/>
      </w:pPr>
      <w:r>
        <w:rPr>
          <w:rFonts w:ascii="Arial" w:cs="Arial" w:eastAsia="Arial" w:hAnsi="Arial"/>
          <w:sz w:val="22"/>
          <w:szCs w:val="22"/>
        </w:rPr>
        <w:t xml:space="preserve">The downstream consequence is reduced access to culturally appropriate food products, increased reliance on nutritionally or culturally inadequate substitutes, and compounded food security disparities among immigrant populations. This chain of impact — from regulatory documentation gap to community-level food access failure — represents a public health problem with measurable national dimensions that current compliance infrastructure is not equipped to address.</w:t>
      </w:r>
    </w:p>
    <w:p>
      <w:pPr>
        <w:pStyle w:val="Heading2"/>
        <w:spacing w:after="120" w:before="240"/>
      </w:pPr>
      <w:r>
        <w:rPr>
          <w:rFonts w:ascii="Arial" w:cs="Arial" w:eastAsia="Arial" w:hAnsi="Arial"/>
          <w:b/>
          <w:bCs/>
          <w:color w:val="2E75B6"/>
          <w:sz w:val="24"/>
          <w:szCs w:val="24"/>
        </w:rPr>
        <w:t xml:space="preserve">3.6 Requirements for an Effective Solution</w:t>
      </w:r>
    </w:p>
    <w:p>
      <w:pPr>
        <w:spacing w:after="100" w:before="100" w:line="360"/>
        <w:jc w:val="both"/>
      </w:pPr>
      <w:r>
        <w:rPr>
          <w:rFonts w:ascii="Arial" w:cs="Arial" w:eastAsia="Arial" w:hAnsi="Arial"/>
          <w:sz w:val="22"/>
          <w:szCs w:val="22"/>
        </w:rPr>
        <w:t xml:space="preserve">Operational experience establishes three design requirements:</w:t>
      </w:r>
    </w:p>
    <w:p>
      <w:pPr>
        <w:spacing w:after="100" w:before="100" w:line="360"/>
        <w:jc w:val="both"/>
      </w:pPr>
      <w:r>
        <w:rPr>
          <w:rFonts w:ascii="Arial" w:cs="Arial" w:eastAsia="Arial" w:hAnsi="Arial"/>
          <w:b/>
          <w:bCs/>
          <w:sz w:val="22"/>
          <w:szCs w:val="22"/>
        </w:rPr>
        <w:t xml:space="preserve">First, </w:t>
      </w:r>
      <w:r>
        <w:rPr>
          <w:rFonts w:ascii="Arial" w:cs="Arial" w:eastAsia="Arial" w:hAnsi="Arial"/>
          <w:sz w:val="22"/>
          <w:szCs w:val="22"/>
        </w:rPr>
        <w:t xml:space="preserve">compliance screening must occur before shipment departure. Pre-arrival validation eliminates port-of-entry hold costs by resolving documentation gaps while remediation remains practically and economically feasible.</w:t>
      </w:r>
    </w:p>
    <w:p>
      <w:pPr>
        <w:spacing w:after="100" w:before="100" w:line="360"/>
        <w:jc w:val="both"/>
      </w:pPr>
      <w:r>
        <w:rPr>
          <w:rFonts w:ascii="Arial" w:cs="Arial" w:eastAsia="Arial" w:hAnsi="Arial"/>
          <w:b/>
          <w:bCs/>
          <w:sz w:val="22"/>
          <w:szCs w:val="22"/>
        </w:rPr>
        <w:t xml:space="preserve">Second, </w:t>
      </w:r>
      <w:r>
        <w:rPr>
          <w:rFonts w:ascii="Arial" w:cs="Arial" w:eastAsia="Arial" w:hAnsi="Arial"/>
          <w:sz w:val="22"/>
          <w:szCs w:val="22"/>
        </w:rPr>
        <w:t xml:space="preserve">the system must digitize and standardize compliance documentation across differing regulatory environments — generating standardized digital records that support FDA compliance review and traceability requirements without requiring manual intermediary processing.</w:t>
      </w:r>
    </w:p>
    <w:p>
      <w:pPr>
        <w:spacing w:after="100" w:before="100" w:line="360"/>
        <w:jc w:val="both"/>
      </w:pPr>
      <w:r>
        <w:rPr>
          <w:rFonts w:ascii="Arial" w:cs="Arial" w:eastAsia="Arial" w:hAnsi="Arial"/>
          <w:b/>
          <w:bCs/>
          <w:sz w:val="22"/>
          <w:szCs w:val="22"/>
        </w:rPr>
        <w:t xml:space="preserve">Third, </w:t>
      </w:r>
      <w:r>
        <w:rPr>
          <w:rFonts w:ascii="Arial" w:cs="Arial" w:eastAsia="Arial" w:hAnsi="Arial"/>
          <w:sz w:val="22"/>
          <w:szCs w:val="22"/>
        </w:rPr>
        <w:t xml:space="preserve">the system must be accessible to small and medium-sized producers in low-resource environments — free or low-cost, deployable where institutional regulatory infrastructure is limited.</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4. The FCIP Framework</w:t>
      </w:r>
    </w:p>
    <w:p>
      <w:pPr>
        <w:pStyle w:val="Heading2"/>
        <w:spacing w:after="120" w:before="240"/>
      </w:pPr>
      <w:r>
        <w:rPr>
          <w:rFonts w:ascii="Arial" w:cs="Arial" w:eastAsia="Arial" w:hAnsi="Arial"/>
          <w:b/>
          <w:bCs/>
          <w:color w:val="2E75B6"/>
          <w:sz w:val="24"/>
          <w:szCs w:val="24"/>
        </w:rPr>
        <w:t xml:space="preserve">4.1 Overview</w:t>
      </w:r>
    </w:p>
    <w:p>
      <w:pPr>
        <w:spacing w:after="100" w:before="100" w:line="360"/>
        <w:jc w:val="both"/>
      </w:pPr>
      <w:r>
        <w:rPr>
          <w:rFonts w:ascii="Arial" w:cs="Arial" w:eastAsia="Arial" w:hAnsi="Arial"/>
          <w:sz w:val="22"/>
          <w:szCs w:val="22"/>
        </w:rPr>
        <w:t xml:space="preserve">FCIP is an AI-enabled health informatics platform providing pre-arrival regulatory compliance screening, compliance documentation intelligence, and supply chain traceability for food products exported from developing economies to the United States. The platform integrates four core functional modules.</w:t>
      </w:r>
    </w:p>
    <w:p>
      <w:pPr>
        <w:spacing w:after="60" w:before="60"/>
      </w:pPr>
      <w:r>
        <w:t xml:space="preserve"/>
      </w:r>
    </w:p>
    <w:p>
      <w:pPr>
        <w:spacing w:after="100" w:before="100" w:line="360"/>
        <w:jc w:val="both"/>
      </w:pPr>
      <w:r>
        <w:rPr>
          <w:rFonts w:ascii="Arial" w:cs="Arial" w:eastAsia="Arial" w:hAnsi="Arial"/>
          <w:i/>
          <w:iCs/>
          <w:sz w:val="22"/>
          <w:szCs w:val="22"/>
        </w:rPr>
        <w:t xml:space="preserve">[Figure 1. Conceptual architecture illustrating the major functional components and information flow of the FoodSafe Compliance Informatics Platform (FCIP). See Exhibit 8.]</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4.2 Module 1 — AI-Enabled Compliance Risk Screening</w:t>
      </w:r>
    </w:p>
    <w:p>
      <w:pPr>
        <w:spacing w:after="100" w:before="100" w:line="360"/>
        <w:jc w:val="both"/>
      </w:pPr>
      <w:r>
        <w:rPr>
          <w:rFonts w:ascii="Arial" w:cs="Arial" w:eastAsia="Arial" w:hAnsi="Arial"/>
          <w:sz w:val="22"/>
          <w:szCs w:val="22"/>
        </w:rPr>
        <w:t xml:space="preserve">This module applies machine learning classification algorithms to assess shipment-level FDA compliance risk before departure. The methodological approach draws directly on prior published research applying Random Forest, Logistic Regression, Naïve Bayes, and Decision Tree classifiers to health risk stratification tasks (Kolawole, 2025a; Kolawole, 2025b). These classifiers, demonstrated to achieve high predictive accuracy in health risk prediction contexts, are structurally adapted to food safety compliance risk prediction — classifiers trained to identify high-risk health indicators in clinical datasets are suited to identifying high-risk compliance indicators in import refusal datasets.</w:t>
      </w:r>
    </w:p>
    <w:p>
      <w:pPr>
        <w:spacing w:after="100" w:before="100" w:line="360"/>
        <w:jc w:val="both"/>
      </w:pPr>
      <w:r>
        <w:rPr>
          <w:rFonts w:ascii="Arial" w:cs="Arial" w:eastAsia="Arial" w:hAnsi="Arial"/>
          <w:sz w:val="22"/>
          <w:szCs w:val="22"/>
        </w:rPr>
        <w:t xml:space="preserve">Potential training data sources include FDA historical import refusal records (publicly available via the FDA Import Refusal Report database), publicly available regulatory datasets, product registration records, FDA compliance guidance documents, and relevant compliance documentation frameworks.</w:t>
      </w:r>
    </w:p>
    <w:p>
      <w:pPr>
        <w:spacing w:after="100" w:before="100" w:line="360"/>
        <w:jc w:val="both"/>
      </w:pPr>
      <w:r>
        <w:rPr>
          <w:rFonts w:ascii="Arial" w:cs="Arial" w:eastAsia="Arial" w:hAnsi="Arial"/>
          <w:sz w:val="22"/>
          <w:szCs w:val="22"/>
        </w:rPr>
        <w:t xml:space="preserve">The module generates a compliance risk score per shipment, flagging documentation gaps, labeling discrepancies, and traceability failures before departure. Producers receive actionable remediation guidance specifying which compliance requirements remain unmet and what documentation is required to achieve FDA-compliant status. Future model development will require iterative training, validation, and performance evaluation using appropriate food safety and regulatory datasets before deployment in operational environments.</w:t>
      </w:r>
    </w:p>
    <w:p>
      <w:pPr>
        <w:spacing w:after="100" w:before="100" w:line="360"/>
        <w:jc w:val="both"/>
      </w:pPr>
      <w:r>
        <w:rPr>
          <w:rFonts w:ascii="Arial" w:cs="Arial" w:eastAsia="Arial" w:hAnsi="Arial"/>
          <w:sz w:val="22"/>
          <w:szCs w:val="22"/>
        </w:rPr>
        <w:t xml:space="preserve">Model interpretability is prioritized through SHAP (SHapley Additive exPlanations) for tabular compliance risk models — providing transparent, non-technical explanations of compliance gap scores accessible to producers in low-resource environments. Grad-CAM visualization methodologies, previously implemented in the author's maternal-fetal ultrasound AI classifier (Kolawole, 2026), are reserved for future image-based compliance extensions such as visual product inspection modules.</w:t>
      </w:r>
    </w:p>
    <w:p>
      <w:pPr>
        <w:pStyle w:val="Heading2"/>
        <w:spacing w:after="120" w:before="240"/>
      </w:pPr>
      <w:r>
        <w:rPr>
          <w:rFonts w:ascii="Arial" w:cs="Arial" w:eastAsia="Arial" w:hAnsi="Arial"/>
          <w:b/>
          <w:bCs/>
          <w:color w:val="2E75B6"/>
          <w:sz w:val="24"/>
          <w:szCs w:val="24"/>
        </w:rPr>
        <w:t xml:space="preserve">4.3 Module 2 — Compliance Documentation Intelligence</w:t>
      </w:r>
    </w:p>
    <w:p>
      <w:pPr>
        <w:spacing w:after="100" w:before="100" w:line="360"/>
        <w:jc w:val="both"/>
      </w:pPr>
      <w:r>
        <w:rPr>
          <w:rFonts w:ascii="Arial" w:cs="Arial" w:eastAsia="Arial" w:hAnsi="Arial"/>
          <w:sz w:val="22"/>
          <w:szCs w:val="22"/>
        </w:rPr>
        <w:t xml:space="preserve">This module addresses the structural incompatibility between differing regulatory documentation systems and FDA's compliance verification requirements. The module performs three functions:</w:t>
      </w:r>
    </w:p>
    <w:p>
      <w:pPr>
        <w:spacing w:after="60" w:before="60"/>
      </w:pPr>
      <w:r>
        <w:t xml:space="preserve"/>
      </w:r>
    </w:p>
    <w:p>
      <w:pPr>
        <w:spacing w:after="100" w:before="100" w:line="360"/>
        <w:jc w:val="both"/>
      </w:pPr>
      <w:r>
        <w:rPr>
          <w:rFonts w:ascii="Arial" w:cs="Arial" w:eastAsia="Arial" w:hAnsi="Arial"/>
          <w:b/>
          <w:bCs/>
          <w:sz w:val="22"/>
          <w:szCs w:val="22"/>
        </w:rPr>
        <w:t xml:space="preserve">Validation — </w:t>
      </w:r>
      <w:r>
        <w:rPr>
          <w:rFonts w:ascii="Arial" w:cs="Arial" w:eastAsia="Arial" w:hAnsi="Arial"/>
          <w:sz w:val="22"/>
          <w:szCs w:val="22"/>
        </w:rPr>
        <w:t xml:space="preserve">Automated cross-referencing of producer-submitted documentation against FDA regulatory requirements under FSMA, 21 CFR labeling standards, and FSVP supplier verification protocols. Documentation gaps are identified and flagged in real time.</w:t>
      </w:r>
    </w:p>
    <w:p>
      <w:pPr>
        <w:spacing w:after="100" w:before="100" w:line="360"/>
        <w:jc w:val="both"/>
      </w:pPr>
      <w:r>
        <w:rPr>
          <w:rFonts w:ascii="Arial" w:cs="Arial" w:eastAsia="Arial" w:hAnsi="Arial"/>
          <w:b/>
          <w:bCs/>
          <w:sz w:val="22"/>
          <w:szCs w:val="22"/>
        </w:rPr>
        <w:t xml:space="preserve">Standardization — </w:t>
      </w:r>
      <w:r>
        <w:rPr>
          <w:rFonts w:ascii="Arial" w:cs="Arial" w:eastAsia="Arial" w:hAnsi="Arial"/>
          <w:sz w:val="22"/>
          <w:szCs w:val="22"/>
        </w:rPr>
        <w:t xml:space="preserve">Conversion of NAFDAC and equivalent origin-country certification records into standardized digital formats that support FDA compliance review and traceability requirements — generating the structured data outputs required for alignment with U.S. import screening standards.</w:t>
      </w:r>
    </w:p>
    <w:p>
      <w:pPr>
        <w:spacing w:after="100" w:before="100" w:line="360"/>
        <w:jc w:val="both"/>
      </w:pPr>
      <w:r>
        <w:rPr>
          <w:rFonts w:ascii="Arial" w:cs="Arial" w:eastAsia="Arial" w:hAnsi="Arial"/>
          <w:b/>
          <w:bCs/>
          <w:sz w:val="22"/>
          <w:szCs w:val="22"/>
        </w:rPr>
        <w:t xml:space="preserve">Generation — </w:t>
      </w:r>
      <w:r>
        <w:rPr>
          <w:rFonts w:ascii="Arial" w:cs="Arial" w:eastAsia="Arial" w:hAnsi="Arial"/>
          <w:sz w:val="22"/>
          <w:szCs w:val="22"/>
        </w:rPr>
        <w:t xml:space="preserve">AI-assisted drafting of required compliance documentation — including supplier verification records, preventive control plans, and labeling compliance certificates — based on producer-submitted product data, reviewed against current FDA requirements before transmission.</w:t>
      </w:r>
    </w:p>
    <w:p>
      <w:pPr>
        <w:spacing w:after="60" w:before="60"/>
      </w:pPr>
      <w:r>
        <w:t xml:space="preserve"/>
      </w:r>
    </w:p>
    <w:p>
      <w:pPr>
        <w:spacing w:after="100" w:before="100" w:line="360"/>
        <w:jc w:val="both"/>
      </w:pPr>
      <w:r>
        <w:rPr>
          <w:rFonts w:ascii="Arial" w:cs="Arial" w:eastAsia="Arial" w:hAnsi="Arial"/>
          <w:sz w:val="22"/>
          <w:szCs w:val="22"/>
        </w:rPr>
        <w:t xml:space="preserve">Workflow automation infrastructure, implemented using low-code platforms including n8n and REST API integration, enables seamless data exchange between producer compliance records, origin-country regulatory databases, and FDA import systems without requiring manual intermediary processing.</w:t>
      </w:r>
    </w:p>
    <w:p>
      <w:pPr>
        <w:pStyle w:val="Heading2"/>
        <w:spacing w:after="120" w:before="240"/>
      </w:pPr>
      <w:r>
        <w:rPr>
          <w:rFonts w:ascii="Arial" w:cs="Arial" w:eastAsia="Arial" w:hAnsi="Arial"/>
          <w:b/>
          <w:bCs/>
          <w:color w:val="2E75B6"/>
          <w:sz w:val="24"/>
          <w:szCs w:val="24"/>
        </w:rPr>
        <w:t xml:space="preserve">4.4 Module 3 — Supply Chain Traceability Infrastructure</w:t>
      </w:r>
    </w:p>
    <w:p>
      <w:pPr>
        <w:spacing w:after="100" w:before="100" w:line="360"/>
        <w:jc w:val="both"/>
      </w:pPr>
      <w:r>
        <w:rPr>
          <w:rFonts w:ascii="Arial" w:cs="Arial" w:eastAsia="Arial" w:hAnsi="Arial"/>
          <w:sz w:val="22"/>
          <w:szCs w:val="22"/>
        </w:rPr>
        <w:t xml:space="preserve">This module implements end-to-end digital documentation of product movement from production facility through export certification, international transit, and U.S. port-of-entry clearance. Core functions include:</w:t>
      </w:r>
    </w:p>
    <w:p>
      <w:pPr>
        <w:pStyle w:val="ListParagraph"/>
        <w:numPr>
          <w:ilvl w:val="0"/>
          <w:numId w:val="2"/>
        </w:numPr>
        <w:spacing w:after="60" w:before="60"/>
      </w:pPr>
      <w:r>
        <w:rPr>
          <w:rFonts w:ascii="Arial" w:cs="Arial" w:eastAsia="Arial" w:hAnsi="Arial"/>
          <w:sz w:val="22"/>
          <w:szCs w:val="22"/>
        </w:rPr>
        <w:t xml:space="preserve">Digital lot-level tracking from production batch through customs clearance</w:t>
      </w:r>
    </w:p>
    <w:p>
      <w:pPr>
        <w:pStyle w:val="ListParagraph"/>
        <w:numPr>
          <w:ilvl w:val="0"/>
          <w:numId w:val="2"/>
        </w:numPr>
        <w:spacing w:after="60" w:before="60"/>
      </w:pPr>
      <w:r>
        <w:rPr>
          <w:rFonts w:ascii="Arial" w:cs="Arial" w:eastAsia="Arial" w:hAnsi="Arial"/>
          <w:sz w:val="22"/>
          <w:szCs w:val="22"/>
        </w:rPr>
        <w:t xml:space="preserve">Tamper-evident audit trail generation compatible with FDA's Food Traceability Rule under FSMA Section 204</w:t>
      </w:r>
    </w:p>
    <w:p>
      <w:pPr>
        <w:pStyle w:val="ListParagraph"/>
        <w:numPr>
          <w:ilvl w:val="0"/>
          <w:numId w:val="2"/>
        </w:numPr>
        <w:spacing w:after="60" w:before="60"/>
      </w:pPr>
      <w:r>
        <w:rPr>
          <w:rFonts w:ascii="Arial" w:cs="Arial" w:eastAsia="Arial" w:hAnsi="Arial"/>
          <w:sz w:val="22"/>
          <w:szCs w:val="22"/>
        </w:rPr>
        <w:t xml:space="preserve">Real-time shipment status monitoring with automated compliance alert generation</w:t>
      </w:r>
    </w:p>
    <w:p>
      <w:pPr>
        <w:pStyle w:val="ListParagraph"/>
        <w:numPr>
          <w:ilvl w:val="0"/>
          <w:numId w:val="2"/>
        </w:numPr>
        <w:spacing w:after="60" w:before="60"/>
      </w:pPr>
      <w:r>
        <w:rPr>
          <w:rFonts w:ascii="Arial" w:cs="Arial" w:eastAsia="Arial" w:hAnsi="Arial"/>
          <w:sz w:val="22"/>
          <w:szCs w:val="22"/>
        </w:rPr>
        <w:t xml:space="preserve">Supplier verification record maintenance meeting FSVP requirements</w:t>
      </w:r>
    </w:p>
    <w:p>
      <w:pPr>
        <w:spacing w:after="100" w:before="100" w:line="360"/>
        <w:jc w:val="both"/>
      </w:pPr>
      <w:r>
        <w:rPr>
          <w:rFonts w:ascii="Arial" w:cs="Arial" w:eastAsia="Arial" w:hAnsi="Arial"/>
          <w:sz w:val="22"/>
          <w:szCs w:val="22"/>
        </w:rPr>
        <w:t xml:space="preserve">Traceability data is stored in structured formats compatible with U.S. import screening requirements — enabling more efficient clearance for compliant shipments and reducing reliance on manual border inspection for producers with established compliance records.</w:t>
      </w:r>
    </w:p>
    <w:p>
      <w:pPr>
        <w:pStyle w:val="Heading2"/>
        <w:spacing w:after="120" w:before="240"/>
      </w:pPr>
      <w:r>
        <w:rPr>
          <w:rFonts w:ascii="Arial" w:cs="Arial" w:eastAsia="Arial" w:hAnsi="Arial"/>
          <w:b/>
          <w:bCs/>
          <w:color w:val="2E75B6"/>
          <w:sz w:val="24"/>
          <w:szCs w:val="24"/>
        </w:rPr>
        <w:t xml:space="preserve">4.5 Module 4 — Public Health and Regulatory Intelligence</w:t>
      </w:r>
    </w:p>
    <w:p>
      <w:pPr>
        <w:spacing w:after="100" w:before="100" w:line="360"/>
        <w:jc w:val="both"/>
      </w:pPr>
      <w:r>
        <w:rPr>
          <w:rFonts w:ascii="Arial" w:cs="Arial" w:eastAsia="Arial" w:hAnsi="Arial"/>
          <w:sz w:val="22"/>
          <w:szCs w:val="22"/>
        </w:rPr>
        <w:t xml:space="preserve">This module aggregates compliance, traceability, and import data to generate population-level insights into food safety trends, compliance gap patterns, and public health risk indicators across product categories and origin regions. Dashboard outputs include:</w:t>
      </w:r>
    </w:p>
    <w:p>
      <w:pPr>
        <w:pStyle w:val="ListParagraph"/>
        <w:numPr>
          <w:ilvl w:val="0"/>
          <w:numId w:val="2"/>
        </w:numPr>
        <w:spacing w:after="60" w:before="60"/>
      </w:pPr>
      <w:r>
        <w:rPr>
          <w:rFonts w:ascii="Arial" w:cs="Arial" w:eastAsia="Arial" w:hAnsi="Arial"/>
          <w:sz w:val="22"/>
          <w:szCs w:val="22"/>
        </w:rPr>
        <w:t xml:space="preserve">Compliance risk trend analysis by product category and origin country</w:t>
      </w:r>
    </w:p>
    <w:p>
      <w:pPr>
        <w:pStyle w:val="ListParagraph"/>
        <w:numPr>
          <w:ilvl w:val="0"/>
          <w:numId w:val="2"/>
        </w:numPr>
        <w:spacing w:after="60" w:before="60"/>
      </w:pPr>
      <w:r>
        <w:rPr>
          <w:rFonts w:ascii="Arial" w:cs="Arial" w:eastAsia="Arial" w:hAnsi="Arial"/>
          <w:sz w:val="22"/>
          <w:szCs w:val="22"/>
        </w:rPr>
        <w:t xml:space="preserve">Import refusal pattern mapping identifying systemic compliance gap clusters</w:t>
      </w:r>
    </w:p>
    <w:p>
      <w:pPr>
        <w:pStyle w:val="ListParagraph"/>
        <w:numPr>
          <w:ilvl w:val="0"/>
          <w:numId w:val="2"/>
        </w:numPr>
        <w:spacing w:after="60" w:before="60"/>
      </w:pPr>
      <w:r>
        <w:rPr>
          <w:rFonts w:ascii="Arial" w:cs="Arial" w:eastAsia="Arial" w:hAnsi="Arial"/>
          <w:sz w:val="22"/>
          <w:szCs w:val="22"/>
        </w:rPr>
        <w:t xml:space="preserve">Nutritional access monitoring for underserved community product categories</w:t>
      </w:r>
    </w:p>
    <w:p>
      <w:pPr>
        <w:pStyle w:val="ListParagraph"/>
        <w:numPr>
          <w:ilvl w:val="0"/>
          <w:numId w:val="2"/>
        </w:numPr>
        <w:spacing w:after="60" w:before="60"/>
      </w:pPr>
      <w:r>
        <w:rPr>
          <w:rFonts w:ascii="Arial" w:cs="Arial" w:eastAsia="Arial" w:hAnsi="Arial"/>
          <w:sz w:val="22"/>
          <w:szCs w:val="22"/>
        </w:rPr>
        <w:t xml:space="preserve">Supplier compliance performance tracking enabling proactive intervention before shipment</w:t>
      </w:r>
    </w:p>
    <w:p>
      <w:pPr>
        <w:spacing w:after="100" w:before="100" w:line="360"/>
        <w:jc w:val="both"/>
      </w:pPr>
      <w:r>
        <w:rPr>
          <w:rFonts w:ascii="Arial" w:cs="Arial" w:eastAsia="Arial" w:hAnsi="Arial"/>
          <w:sz w:val="22"/>
          <w:szCs w:val="22"/>
        </w:rPr>
        <w:t xml:space="preserve">Analytics outputs are designed to serve FDA import program administrators, public health researchers, trade policy analysts, and community health organizations — providing actionable data infrastructure for evidence-based food safety and trade policy development. FCIP's analytics infrastructure may also support population-level monitoring of food safety trends and emerging public health risks associated with imported food products, strengthening the intersection of health informatics, food safety surveillance, and national public health oversight.</w:t>
      </w:r>
    </w:p>
    <w:p>
      <w:pPr>
        <w:pStyle w:val="Heading2"/>
        <w:spacing w:after="120" w:before="240"/>
      </w:pPr>
      <w:r>
        <w:rPr>
          <w:rFonts w:ascii="Arial" w:cs="Arial" w:eastAsia="Arial" w:hAnsi="Arial"/>
          <w:b/>
          <w:bCs/>
          <w:color w:val="2E75B6"/>
          <w:sz w:val="24"/>
          <w:szCs w:val="24"/>
        </w:rPr>
        <w:t xml:space="preserve">4.6 Technical Architecture</w:t>
      </w:r>
    </w:p>
    <w:p>
      <w:pPr>
        <w:spacing w:after="100" w:before="100" w:line="360"/>
        <w:jc w:val="both"/>
      </w:pPr>
      <w:r>
        <w:rPr>
          <w:rFonts w:ascii="Arial" w:cs="Arial" w:eastAsia="Arial" w:hAnsi="Arial"/>
          <w:sz w:val="22"/>
          <w:szCs w:val="22"/>
        </w:rPr>
        <w:t xml:space="preserve">The platform is built on open-source technologies to ensure accessibility and deployability in low-resource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learning models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scikit-learn, TensorFlow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processing pipelines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pandas, NumPy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automation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REST API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and visualization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BI, Tableau, Streamlit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Explainable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 (tabular models), Grad-CAM (image models)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Traceability 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database with audit logging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Cloud-based, accessible via web interface</w:t>
            </w:r>
          </w:p>
        </w:tc>
      </w:tr>
    </w:tbl>
    <w:p>
      <w:pPr>
        <w:spacing w:after="60" w:before="60"/>
      </w:pPr>
      <w:r>
        <w:t xml:space="preserve"/>
      </w:r>
    </w:p>
    <w:p>
      <w:pPr>
        <w:spacing w:after="100" w:before="100" w:line="360"/>
        <w:jc w:val="both"/>
      </w:pPr>
      <w:r>
        <w:rPr>
          <w:rFonts w:ascii="Arial" w:cs="Arial" w:eastAsia="Arial" w:hAnsi="Arial"/>
          <w:sz w:val="22"/>
          <w:szCs w:val="22"/>
        </w:rPr>
        <w:t xml:space="preserve">This architecture directly leverages technical competencies developed through graduate research in computational health informatics — including predictive modeling, deep learning deployment, workflow automation, and interactive dashboard development — ensuring that the proposed system is grounded in demonstrated technical capability.</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5. Public Health and National Interest Implications</w:t>
      </w:r>
    </w:p>
    <w:p>
      <w:pPr>
        <w:pStyle w:val="Heading2"/>
        <w:spacing w:after="120" w:before="240"/>
      </w:pPr>
      <w:r>
        <w:rPr>
          <w:rFonts w:ascii="Arial" w:cs="Arial" w:eastAsia="Arial" w:hAnsi="Arial"/>
          <w:b/>
          <w:bCs/>
          <w:color w:val="2E75B6"/>
          <w:sz w:val="24"/>
          <w:szCs w:val="24"/>
        </w:rPr>
        <w:t xml:space="preserve">5.1 Food Safety as a National Priority</w:t>
      </w:r>
    </w:p>
    <w:p>
      <w:pPr>
        <w:spacing w:after="100" w:before="100" w:line="360"/>
        <w:jc w:val="both"/>
      </w:pPr>
      <w:r>
        <w:rPr>
          <w:rFonts w:ascii="Arial" w:cs="Arial" w:eastAsia="Arial" w:hAnsi="Arial"/>
          <w:sz w:val="22"/>
          <w:szCs w:val="22"/>
        </w:rPr>
        <w:t xml:space="preserve">Food safety represents a documented U.S. federal priority — codified in FSMA, enforced by FDA's import screening infrastructure, and linked to national security objectives around supply chain integrity and public health protection. FCIP advances these priorities by addressing compliance failures at the pre-arrival stage — where intervention is most effective and least costly — rather than at the U.S. border, where remediation is expensive, disruptive, and frequently impractical without product destruction or return.</w:t>
      </w:r>
    </w:p>
    <w:p>
      <w:pPr>
        <w:pStyle w:val="Heading2"/>
        <w:spacing w:after="120" w:before="240"/>
      </w:pPr>
      <w:r>
        <w:rPr>
          <w:rFonts w:ascii="Arial" w:cs="Arial" w:eastAsia="Arial" w:hAnsi="Arial"/>
          <w:b/>
          <w:bCs/>
          <w:color w:val="2E75B6"/>
          <w:sz w:val="24"/>
          <w:szCs w:val="24"/>
        </w:rPr>
        <w:t xml:space="preserve">5.2 Alignment With U.S. Trade Policy</w:t>
      </w:r>
    </w:p>
    <w:p>
      <w:pPr>
        <w:spacing w:after="100" w:before="100" w:line="360"/>
        <w:jc w:val="both"/>
      </w:pPr>
      <w:r>
        <w:rPr>
          <w:rFonts w:ascii="Arial" w:cs="Arial" w:eastAsia="Arial" w:hAnsi="Arial"/>
          <w:sz w:val="22"/>
          <w:szCs w:val="22"/>
        </w:rPr>
        <w:t xml:space="preserve">By enabling small and medium-sized food producers in developing economies to achieve consistent FDA compliance, FCIP directly supports U.S. trade policy objectives under AGOA and Prosper Africa — expanding the volume and reliability of compliant food imports, reducing the enforcement burden on FDA and CBP resources, and creating sustainable cross-border trade pathways that generate economic value for both U.S. importers and international producers. Federal priorities in trade and food safety align with what FCIP independently addresses — FCIP was not designed to satisfy federal policy, but the convergence is direct and documented.</w:t>
      </w:r>
    </w:p>
    <w:p>
      <w:pPr>
        <w:pStyle w:val="Heading2"/>
        <w:spacing w:after="120" w:before="240"/>
      </w:pPr>
      <w:r>
        <w:rPr>
          <w:rFonts w:ascii="Arial" w:cs="Arial" w:eastAsia="Arial" w:hAnsi="Arial"/>
          <w:b/>
          <w:bCs/>
          <w:color w:val="2E75B6"/>
          <w:sz w:val="24"/>
          <w:szCs w:val="24"/>
        </w:rPr>
        <w:t xml:space="preserve">5.3 Health Equity for Underserved Communities</w:t>
      </w:r>
    </w:p>
    <w:p>
      <w:pPr>
        <w:spacing w:after="100" w:before="100" w:line="360"/>
        <w:jc w:val="both"/>
      </w:pPr>
      <w:r>
        <w:rPr>
          <w:rFonts w:ascii="Arial" w:cs="Arial" w:eastAsia="Arial" w:hAnsi="Arial"/>
          <w:sz w:val="22"/>
          <w:szCs w:val="22"/>
        </w:rPr>
        <w:t xml:space="preserve">Consistent access to culturally relevant, FDA-compliant food products is a measurable determinant of nutritional health and food security for immigrant and minority communities in the United States (HHS, 2022). By reducing compliance barriers for the small producers who supply these communities, FCIP directly addresses food access disparities — advancing health equity objectives aligned with HHS national priorities and contributing to broader public health goals of reducing diet-related chronic disease disparities among underserved populations.</w:t>
      </w:r>
    </w:p>
    <w:p>
      <w:pPr>
        <w:pStyle w:val="Heading2"/>
        <w:spacing w:after="120" w:before="240"/>
      </w:pPr>
      <w:r>
        <w:rPr>
          <w:rFonts w:ascii="Arial" w:cs="Arial" w:eastAsia="Arial" w:hAnsi="Arial"/>
          <w:b/>
          <w:bCs/>
          <w:color w:val="2E75B6"/>
          <w:sz w:val="24"/>
          <w:szCs w:val="24"/>
        </w:rPr>
        <w:t xml:space="preserve">5.4 Reducing Compliance Documentation Vulnerabilities</w:t>
      </w:r>
    </w:p>
    <w:p>
      <w:pPr>
        <w:spacing w:after="100" w:before="100" w:line="360"/>
        <w:jc w:val="both"/>
      </w:pPr>
      <w:r>
        <w:rPr>
          <w:rFonts w:ascii="Arial" w:cs="Arial" w:eastAsia="Arial" w:hAnsi="Arial"/>
          <w:sz w:val="22"/>
          <w:szCs w:val="22"/>
        </w:rPr>
        <w:t xml:space="preserve">By supplementing existing certification processes with AI-enabled screening and documentation support, FCIP reduces the vulnerability of compliance documentation to inconsistencies arising from cross-jurisdictional format differences — improving the reliability and integrity of documentation arriving at U.S. borders and supporting more efficient regulatory review.</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6. Current Development Status</w:t>
      </w:r>
    </w:p>
    <w:p>
      <w:pPr>
        <w:spacing w:after="100" w:before="100" w:line="360"/>
        <w:jc w:val="both"/>
      </w:pPr>
      <w:r>
        <w:rPr>
          <w:rFonts w:ascii="Arial" w:cs="Arial" w:eastAsia="Arial" w:hAnsi="Arial"/>
          <w:sz w:val="22"/>
          <w:szCs w:val="22"/>
        </w:rPr>
        <w:t xml:space="preserve">FCIP is actively in development and publicly documented across multiple platforms:</w:t>
      </w:r>
    </w:p>
    <w:p>
      <w:pPr>
        <w:spacing w:after="60" w:before="60"/>
      </w:pPr>
      <w:r>
        <w:t xml:space="preserve"/>
      </w:r>
    </w:p>
    <w:p>
      <w:pPr>
        <w:spacing w:after="100" w:before="100" w:line="360"/>
        <w:jc w:val="both"/>
      </w:pPr>
      <w:r>
        <w:rPr>
          <w:rFonts w:ascii="Arial" w:cs="Arial" w:eastAsia="Arial" w:hAnsi="Arial"/>
          <w:b/>
          <w:bCs/>
          <w:sz w:val="22"/>
          <w:szCs w:val="22"/>
        </w:rPr>
        <w:t xml:space="preserve">Public project repository </w:t>
      </w:r>
      <w:r>
        <w:rPr>
          <w:rFonts w:ascii="Arial" w:cs="Arial" w:eastAsia="Arial" w:hAnsi="Arial"/>
          <w:sz w:val="22"/>
          <w:szCs w:val="22"/>
        </w:rPr>
        <w:t xml:space="preserve">(github.com/janelandnet-code/foodsafe-compliance-intelligence): The complete FCIP framework, technical architecture, module specifications, development roadmap, and implementation strategy are publicly documented and actively under development.</w:t>
      </w:r>
    </w:p>
    <w:p>
      <w:pPr>
        <w:spacing w:after="100" w:before="100" w:line="360"/>
        <w:jc w:val="both"/>
      </w:pPr>
      <w:r>
        <w:rPr>
          <w:rFonts w:ascii="Arial" w:cs="Arial" w:eastAsia="Arial" w:hAnsi="Arial"/>
          <w:b/>
          <w:bCs/>
          <w:sz w:val="22"/>
          <w:szCs w:val="22"/>
        </w:rPr>
        <w:t xml:space="preserve">Kaggle notebook </w:t>
      </w:r>
      <w:r>
        <w:rPr>
          <w:rFonts w:ascii="Arial" w:cs="Arial" w:eastAsia="Arial" w:hAnsi="Arial"/>
          <w:sz w:val="22"/>
          <w:szCs w:val="22"/>
        </w:rPr>
        <w:t xml:space="preserve">(kaggle.com/beannygoldbrand): An exploratory data analysis of FDA import refusal patterns establishes the analytical foundation for FCIP's compliance risk prediction module, demonstrating the data pipeline and preliminary feature analysis that will support Module 1 model training.</w:t>
      </w:r>
    </w:p>
    <w:p>
      <w:pPr>
        <w:spacing w:after="60" w:before="60"/>
      </w:pPr>
      <w:r>
        <w:t xml:space="preserve"/>
      </w:r>
    </w:p>
    <w:p>
      <w:pPr>
        <w:spacing w:after="100" w:before="100" w:line="360"/>
        <w:jc w:val="both"/>
      </w:pPr>
      <w:r>
        <w:rPr>
          <w:rFonts w:ascii="Arial" w:cs="Arial" w:eastAsia="Arial" w:hAnsi="Arial"/>
          <w:sz w:val="22"/>
          <w:szCs w:val="22"/>
        </w:rPr>
        <w:t xml:space="preserve">Future development priorities include prototype development using FDA historical import refusal datasets, pilot implementation with food producers seeking U.S. market entry, and iterative refinement of compliance risk models through feedback from public health and regulatory stakeholders. Future releases will be version-controlled through the project's public repository and accompanied by technical documentation describing architectural updates, model development, and validation progress.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7. Conclusion</w:t>
      </w:r>
    </w:p>
    <w:p>
      <w:pPr>
        <w:spacing w:after="100" w:before="100" w:line="360"/>
        <w:jc w:val="both"/>
      </w:pPr>
      <w:r>
        <w:rPr>
          <w:rFonts w:ascii="Arial" w:cs="Arial" w:eastAsia="Arial" w:hAnsi="Arial"/>
          <w:sz w:val="22"/>
          <w:szCs w:val="22"/>
        </w:rPr>
        <w:t xml:space="preserve">This white paper has identified a significant and measurable gap in existing food safety compliance infrastructure — specifically the absence of accessible, AI-enabled pre-arrival compliance screening and traceability platforms for small and medium-sized food producers in developing economies targeting U.S. FDA-regulated markets.</w:t>
      </w:r>
    </w:p>
    <w:p>
      <w:pPr>
        <w:spacing w:after="100" w:before="100" w:line="360"/>
        <w:jc w:val="both"/>
      </w:pPr>
      <w:r>
        <w:rPr>
          <w:rFonts w:ascii="Arial" w:cs="Arial" w:eastAsia="Arial" w:hAnsi="Arial"/>
          <w:sz w:val="22"/>
          <w:szCs w:val="22"/>
        </w:rPr>
        <w:t xml:space="preserve">Drawing on direct operational experience navigating NAFDAC and FDA regulatory systems — including firsthand experience with a U.S. FDA physical facility inspection — validated machine learning methodologies from computational health informatics research, and established supply chain traceability frameworks, this paper has described the FoodSafe Compliance Informatics Platform: a scalable, open-access digital compliance infrastructure designed to address this gap at its systemic root.</w:t>
      </w:r>
    </w:p>
    <w:p>
      <w:pPr>
        <w:spacing w:after="100" w:before="100" w:line="360"/>
        <w:jc w:val="both"/>
      </w:pPr>
      <w:r>
        <w:rPr>
          <w:rFonts w:ascii="Arial" w:cs="Arial" w:eastAsia="Arial" w:hAnsi="Arial"/>
          <w:sz w:val="22"/>
          <w:szCs w:val="22"/>
        </w:rPr>
        <w:t xml:space="preserve">The proposed framework advances simultaneously the national interest objectives of U.S. food safety protection, cross-border trade efficiency, and public health equity for underserved communities — representing a technically grounded, operationally validated contribution to the intersection of health informatics, regulatory technology, and international food systems.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8. References</w:t>
      </w:r>
    </w:p>
    <w:p>
      <w:pPr>
        <w:spacing w:after="100" w:before="100" w:line="360"/>
        <w:jc w:val="both"/>
      </w:pPr>
      <w:r>
        <w:rPr>
          <w:rFonts w:ascii="Arial" w:cs="Arial" w:eastAsia="Arial" w:hAnsi="Arial"/>
          <w:sz w:val="22"/>
          <w:szCs w:val="22"/>
        </w:rPr>
        <w:t xml:space="preserve">Bosona, T., &amp; Gebresenbet, G. (2013). Food traceability as an integral part of logistics management in food and agricultural supply chain. Food Control, 33(1), 32-48.</w:t>
      </w:r>
    </w:p>
    <w:p>
      <w:pPr>
        <w:spacing w:after="100" w:before="100" w:line="360"/>
        <w:jc w:val="both"/>
      </w:pPr>
      <w:r>
        <w:rPr>
          <w:rFonts w:ascii="Arial" w:cs="Arial" w:eastAsia="Arial" w:hAnsi="Arial"/>
          <w:sz w:val="22"/>
          <w:szCs w:val="22"/>
        </w:rPr>
        <w:t xml:space="preserve">FDA. (2011). FDA Food Safety Modernization Act. U.S. Food and Drug Administration. https://www.fda.gov/food/food-safety-modernization-act-fsma</w:t>
      </w:r>
    </w:p>
    <w:p>
      <w:pPr>
        <w:spacing w:after="100" w:before="100" w:line="360"/>
        <w:jc w:val="both"/>
      </w:pPr>
      <w:r>
        <w:rPr>
          <w:rFonts w:ascii="Arial" w:cs="Arial" w:eastAsia="Arial" w:hAnsi="Arial"/>
          <w:sz w:val="22"/>
          <w:szCs w:val="22"/>
        </w:rPr>
        <w:t xml:space="preserve">FDA. (2022). FDA Food Traceability Rule — FSMA Section 204. U.S. Food and Drug Administration. https://www.fda.gov/food/food-safety-modernization-act-fsma/fsma-final-rule-requirements-additional-traceability-records-certain-foods</w:t>
      </w:r>
    </w:p>
    <w:p>
      <w:pPr>
        <w:spacing w:after="100" w:before="100" w:line="360"/>
        <w:jc w:val="both"/>
      </w:pPr>
      <w:r>
        <w:rPr>
          <w:rFonts w:ascii="Arial" w:cs="Arial" w:eastAsia="Arial" w:hAnsi="Arial"/>
          <w:sz w:val="22"/>
          <w:szCs w:val="22"/>
        </w:rPr>
        <w:t xml:space="preserve">FDA. (2023). Foreign Supplier Verification Programs (FSVP) for Importers of Food for Humans and Animals. U.S. Food and Drug Administration. https://www.fda.gov/food/food-safety-modernization-act-fsma/fsma-final-rule-foreign-supplier-verification-programs-fsvp-importers-food-humans-and-animals</w:t>
      </w:r>
    </w:p>
    <w:p>
      <w:pPr>
        <w:spacing w:after="100" w:before="100" w:line="360"/>
        <w:jc w:val="both"/>
      </w:pPr>
      <w:r>
        <w:rPr>
          <w:rFonts w:ascii="Arial" w:cs="Arial" w:eastAsia="Arial" w:hAnsi="Arial"/>
          <w:sz w:val="22"/>
          <w:szCs w:val="22"/>
        </w:rPr>
        <w:t xml:space="preserve">Galvez, J.F., Mejuto, J.C., &amp; Simal-Gandara, J. (2018). Future challenges on the use of blockchain for food traceability analysis. TrAC Trends in Analytical Chemistry, 107, 222-232.</w:t>
      </w:r>
    </w:p>
    <w:p>
      <w:pPr>
        <w:spacing w:after="100" w:before="100" w:line="360"/>
        <w:jc w:val="both"/>
      </w:pPr>
      <w:r>
        <w:rPr>
          <w:rFonts w:ascii="Arial" w:cs="Arial" w:eastAsia="Arial" w:hAnsi="Arial"/>
          <w:sz w:val="22"/>
          <w:szCs w:val="22"/>
        </w:rPr>
        <w:t xml:space="preserve">Ge, L., Brewster, C., Spek, J., Smeenk, A., &amp; Top, J. (2017). Blockchain for agriculture and food: Findings from the pilot study. Wageningen Economic Research Report 2017-112. https://doi.org/10.18174/426747</w:t>
      </w:r>
    </w:p>
    <w:p>
      <w:pPr>
        <w:spacing w:after="100" w:before="100" w:line="360"/>
        <w:jc w:val="both"/>
      </w:pPr>
      <w:r>
        <w:rPr>
          <w:rFonts w:ascii="Arial" w:cs="Arial" w:eastAsia="Arial" w:hAnsi="Arial"/>
          <w:sz w:val="22"/>
          <w:szCs w:val="22"/>
        </w:rPr>
        <w:t xml:space="preserve">Hobbs, J.E. (2020). Food supply chain resilience and the COVID-19 pandemic. Canadian Journal of Agricultural Economics, 68(2), 171-176.</w:t>
      </w:r>
    </w:p>
    <w:p>
      <w:pPr>
        <w:spacing w:after="100" w:before="100" w:line="360"/>
        <w:jc w:val="both"/>
      </w:pPr>
      <w:r>
        <w:rPr>
          <w:rFonts w:ascii="Arial" w:cs="Arial" w:eastAsia="Arial" w:hAnsi="Arial"/>
          <w:sz w:val="22"/>
          <w:szCs w:val="22"/>
        </w:rPr>
        <w:t xml:space="preserve">Kolawole, J. (2025a). Leveraging Machine Learning for Early Diabetes Risk Screening: An Applied Study Supporting Innovation in Preventive Health Solutions. University of Houston Institutional Repository (UHIR #20927).</w:t>
      </w:r>
    </w:p>
    <w:p>
      <w:pPr>
        <w:spacing w:after="100" w:before="100" w:line="360"/>
        <w:jc w:val="both"/>
      </w:pPr>
      <w:r>
        <w:rPr>
          <w:rFonts w:ascii="Arial" w:cs="Arial" w:eastAsia="Arial" w:hAnsi="Arial"/>
          <w:sz w:val="22"/>
          <w:szCs w:val="22"/>
        </w:rPr>
        <w:t xml:space="preserve">Kolawole, J. (2025b). Innovative Machine Learning Approaches for Predicting Type 2 Diabetes: An Applied Review Using the PIMA Indians Dataset. University of Houston Institutional Repository (UHIR #20931).</w:t>
      </w:r>
    </w:p>
    <w:p>
      <w:pPr>
        <w:spacing w:after="100" w:before="100" w:line="360"/>
        <w:jc w:val="both"/>
      </w:pPr>
      <w:r>
        <w:rPr>
          <w:rFonts w:ascii="Arial" w:cs="Arial" w:eastAsia="Arial" w:hAnsi="Arial"/>
          <w:sz w:val="22"/>
          <w:szCs w:val="22"/>
        </w:rPr>
        <w:t xml:space="preserve">Kolawole, J. (2026). Maternal-Fetal Ultrasound AI — Scan Plane Classifier with Grad-CAM. GitHub Repository. https://github.com/janelandnet-code/maternal-fetal-ultrasound-ai</w:t>
      </w:r>
    </w:p>
    <w:p>
      <w:pPr>
        <w:spacing w:after="100" w:before="100" w:line="360"/>
        <w:jc w:val="both"/>
      </w:pPr>
      <w:r>
        <w:rPr>
          <w:rFonts w:ascii="Arial" w:cs="Arial" w:eastAsia="Arial" w:hAnsi="Arial"/>
          <w:sz w:val="22"/>
          <w:szCs w:val="22"/>
        </w:rPr>
        <w:t xml:space="preserve">LeCun, Y., Bengio, Y., &amp; Hinton, G. (2015). Deep learning. Nature, 521(7553), 436-444.</w:t>
      </w:r>
    </w:p>
    <w:p>
      <w:pPr>
        <w:spacing w:after="100" w:before="100" w:line="360"/>
        <w:jc w:val="both"/>
      </w:pPr>
      <w:r>
        <w:rPr>
          <w:rFonts w:ascii="Arial" w:cs="Arial" w:eastAsia="Arial" w:hAnsi="Arial"/>
          <w:sz w:val="22"/>
          <w:szCs w:val="22"/>
        </w:rPr>
        <w:t xml:space="preserve">Oldroyd, R.A., Morris, M.A., &amp; Birkin, M. (2021). Predicting food safety compliance for informed food outlet inspections: A machine learning approach. International Journal of Environmental Research and Public Health, 18(23), 12635. https://doi.org/10.3390/ijerph182312635</w:t>
      </w:r>
    </w:p>
    <w:p>
      <w:pPr>
        <w:spacing w:after="100" w:before="100" w:line="360"/>
        <w:jc w:val="both"/>
      </w:pPr>
      <w:r>
        <w:rPr>
          <w:rFonts w:ascii="Arial" w:cs="Arial" w:eastAsia="Arial" w:hAnsi="Arial"/>
          <w:sz w:val="22"/>
          <w:szCs w:val="22"/>
        </w:rPr>
        <w:t xml:space="preserve">Shortliffe, E.H., &amp; Cimino, J.J. (Eds.). (2014). Biomedical Informatics: Computer Applications in Health Care and Biomedicine (4th ed.). Springer. https://doi.org/10.1007/978-1-4471-4474-8</w:t>
      </w:r>
    </w:p>
    <w:p>
      <w:pPr>
        <w:spacing w:after="100" w:before="100" w:line="360"/>
        <w:jc w:val="both"/>
      </w:pPr>
      <w:r>
        <w:rPr>
          <w:rFonts w:ascii="Arial" w:cs="Arial" w:eastAsia="Arial" w:hAnsi="Arial"/>
          <w:sz w:val="22"/>
          <w:szCs w:val="22"/>
        </w:rPr>
        <w:t xml:space="preserve">U.S. Department of Health and Human Services. (2022). Healthy People 2030: Food insecurity. Office of Disease Prevention and Health Promotion. https://odphp.health.gov/healthypeople/priority-areas/social-determinants-health/literature-summaries/food-insecurity</w:t>
      </w:r>
    </w:p>
    <w:p>
      <w:pPr>
        <w:spacing w:after="100" w:before="100" w:line="360"/>
        <w:jc w:val="both"/>
      </w:pPr>
      <w:r>
        <w:rPr>
          <w:rFonts w:ascii="Arial" w:cs="Arial" w:eastAsia="Arial" w:hAnsi="Arial"/>
          <w:sz w:val="22"/>
          <w:szCs w:val="22"/>
        </w:rPr>
        <w:t xml:space="preserve">U.S. Food and Drug Administration. (2023). Import Refusal Reports. https://www.fda.gov/food/compliance-enforcement-food/import-refusal-reports</w:t>
      </w:r>
    </w:p>
    <w:p>
      <w:pPr>
        <w:spacing w:after="100" w:before="100" w:line="360"/>
        <w:jc w:val="both"/>
      </w:pPr>
      <w:r>
        <w:rPr>
          <w:rFonts w:ascii="Arial" w:cs="Arial" w:eastAsia="Arial" w:hAnsi="Arial"/>
          <w:sz w:val="22"/>
          <w:szCs w:val="22"/>
        </w:rPr>
        <w:t xml:space="preserve">WHO. (2022). WHO Global Strategy for Food Safety 2022-2030. World Health Organization. https://www.who.int/publications/i/item/9789240040519</w:t>
      </w:r>
    </w:p>
    <w:p>
      <w:pPr>
        <w:pBdr>
          <w:bottom w:val="single" w:color="CCCCCC" w:sz="4" w:space="1"/>
        </w:pBdr>
        <w:spacing w:after="160" w:before="160"/>
      </w:pPr>
      <w:r>
        <w:t xml:space="preserve"/>
      </w:r>
    </w:p>
    <w:p>
      <w:pPr>
        <w:spacing w:after="80" w:before="200"/>
        <w:jc w:val="center"/>
      </w:pPr>
      <w:r>
        <w:rPr>
          <w:rFonts w:ascii="Arial" w:cs="Arial" w:eastAsia="Arial" w:hAnsi="Arial"/>
          <w:b/>
          <w:bCs/>
          <w:sz w:val="20"/>
          <w:szCs w:val="20"/>
        </w:rPr>
        <w:t xml:space="preserve">Janet Kolawole, MSc | Computational Health Informatics, University of Houston</w:t>
      </w:r>
    </w:p>
    <w:p>
      <w:pPr>
        <w:spacing w:after="80" w:before="0"/>
        <w:jc w:val="center"/>
      </w:pPr>
      <w:r>
        <w:rPr>
          <w:rFonts w:ascii="Arial" w:cs="Arial" w:eastAsia="Arial" w:hAnsi="Arial"/>
          <w:i/>
          <w:iCs/>
          <w:sz w:val="20"/>
          <w:szCs w:val="20"/>
        </w:rPr>
        <w:t xml:space="preserve">janelandnet@gmail.com | github.com/janelandnet-code/foodsafe-compliance-intelligence</w:t>
      </w:r>
    </w:p>
    <w:p>
      <w:pPr>
        <w:spacing w:after="80" w:before="0"/>
        <w:jc w:val="center"/>
      </w:pPr>
      <w:r>
        <w:rPr>
          <w:rFonts w:ascii="Arial" w:cs="Arial" w:eastAsia="Arial" w:hAnsi="Arial"/>
          <w:color w:val="888888"/>
          <w:sz w:val="20"/>
          <w:szCs w:val="20"/>
        </w:rPr>
        <w:t xml:space="preserve">Exhibit 9 — FoodSafe Compliance Informatics Platform (FCIP): Technical White 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Kolawole, J. (2026) — FCIP Technical White Paper | Exhibit 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2026-07-07T03:27:34.074Z</dcterms:created>
  <dcterms:modified xsi:type="dcterms:W3CDTF">2026-07-07T03:27:34.089Z</dcterms:modified>
</cp:coreProperties>
</file>

<file path=docProps/custom.xml><?xml version="1.0" encoding="utf-8"?>
<Properties xmlns="http://schemas.openxmlformats.org/officeDocument/2006/custom-properties" xmlns:vt="http://schemas.openxmlformats.org/officeDocument/2006/docPropsVTypes"/>
</file>