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Healthcare Policy to Executable Rules for Automated Claims Auditing </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Proof of Concept (POC) Report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Janelle Stradford</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San Diego</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26, 2026 </w:t>
      </w:r>
    </w:p>
    <w:p w:rsidR="00000000" w:rsidDel="00000000" w:rsidP="00000000" w:rsidRDefault="00000000" w:rsidRPr="00000000" w14:paraId="0000000B">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Healthcare Policy to Executable Rules for Automated Claims Auditing </w:t>
      </w:r>
    </w:p>
    <w:p w:rsidR="00000000" w:rsidDel="00000000" w:rsidP="00000000" w:rsidRDefault="00000000" w:rsidRPr="00000000" w14:paraId="0000001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Healthcare billing policies are typically written in plain English, not structured in a way that allows for consistent and scalable interpretation. When it comes to direct actionable feedback, this can be challenging. This paper presents a prototype that leverages natural language processing (NLP) and rule-based systems to convert policy text into structured, executable rules which allow for automated claims auditing. A transformer-based model extracts key constraints, which are then applied through a rule-based engine to evaluate claims. The system outputs a clear violation and a compliance score, demonstrating a transparent and scalable approach to healthcare claims review.</w:t>
      </w: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systems depend on complex billing policies with reimbursement rules, as well as authorization requirements which are used  to regulate things such as treatment, payment, and other healthcare operations. These policies are often expressed in unstructured formats. The lack of structure can lead to inconsistencies in interpretation and inefficiencies in manual claims auditing. Traditional auditing processes are resource intensive and prone to human error. Advances in NLP, particularly transformer-based models, provide a method for converting unstructured policy text into structured formats that can be programmatically enforced (Raffel et al., 2020). This study examines the use of NLP and rule-based systems to automate healthcare claims auditing through policy-to-rule conversion.</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proof of concept (POC) system consists of two primary components. First, a policy extraction module and a rule-based audit engine. The extraction module uses an instruction-tuned transformer model to identify and structure three key policy elements, including procedure identifiers, reimbursement limits, and authorization requirements. These elements are then formatted into a standardized JSON data structure.</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structured rules are then processed by a logic-based audit engine that evaluates healthcare claims against policy constraints. This hybrid approach combines the flexibility of NLP for interpreting text with the reliability of predefined logic for decision-making. The system produces two outputs: a list of violations and a normalized compliance score. This design supports both transparency and interpretability, which are essential in healthcare auditing environments (Centers for Medicare &amp; Medicaid Services [CMS], n.d.).</w:t>
      </w:r>
    </w:p>
    <w:p w:rsidR="00000000" w:rsidDel="00000000" w:rsidP="00000000" w:rsidRDefault="00000000" w:rsidRPr="00000000" w14:paraId="00000016">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prototype successfully demonstrates the conversion of written healthcare policy into executable rules. For example, a policy specifying a reimbursement limit and authorization requirement can be translated into structured constraints and applied to a claim. The system identifies violations such as exceeding reimbursement limits or missing authorization and assigns a compliance score reflecting the degree of adherence. This approach aligns with broader industry trends in payment integrity and claims automation. Organizations such as Cotiviti use analytics and rule-based systems to detect overpayments and non-compliant claims. The integration of NLP enhances the ability to process policy documents at scale, supporting more efficient and consistent auditing processes (Devlin et al., 2018).</w:t>
      </w: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system offers several advantages. First, it reduces manual effort by automating the interpretation of policy text. Second, it ensures consistency through policy-based evaluation. Third, the compliance scoring mechanism enables prioritization of high-risk claims, improving operational efficiency. However, limitations still remain. NLP models may produce inconsistent outputs when policies are ambiguous or complex (Devlin et al., 2018). Additionally, rule-based systems may lack the flexibility to address edge cases requiring clinical judgment. Maintaining updated policy rules is also a challenge in a constantly changing regulatory environment. To mitigate these risks, hybrid systems incorporating human oversight and continuous validation are recommended.</w:t>
      </w: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conversion of healthcare policy into executable rules represents a significant advancement in content management and claims auditing. By combining NLP with rule-based systems, organizations can automate compliance evaluation while maintaining transparency and control. This pilot system demonstrates the feasibility of such an approach and highlights its potential to improve efficiency, accuracy, and scalability in Cotiviti’s healthcare operations.</w:t>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Medicare &amp; Medicaid Services. (n.d.). </w:t>
      </w:r>
      <w:r w:rsidDel="00000000" w:rsidR="00000000" w:rsidRPr="00000000">
        <w:rPr>
          <w:rFonts w:ascii="Times New Roman" w:cs="Times New Roman" w:eastAsia="Times New Roman" w:hAnsi="Times New Roman"/>
          <w:i w:val="1"/>
          <w:iCs w:val="1"/>
          <w:sz w:val="24"/>
          <w:szCs w:val="24"/>
          <w:rtl w:val="0"/>
        </w:rPr>
        <w:t xml:space="preserve">Medicare claims processing manual</w:t>
      </w:r>
      <w:r w:rsidDel="00000000" w:rsidR="00000000" w:rsidRPr="00000000">
        <w:rPr>
          <w:rFonts w:ascii="Times New Roman" w:cs="Times New Roman" w:eastAsia="Times New Roman" w:hAnsi="Times New Roman"/>
          <w:sz w:val="24"/>
          <w:szCs w:val="24"/>
          <w:rtl w:val="0"/>
        </w:rPr>
        <w:t xml:space="preserve">. U.S. Department of Health and Human Services.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J., Chang, M.-W., Lee, K., &amp; Toutanova, K. (2018). BERT: Pre-training of deep bidirectional transformers for language understanding.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Raffel, C., Shazeer, N., Roberts, A., Lee, K., Narang, S., Matena, M., Zhou, Y., Li, W., &amp; Liu, P. J. (2020). Exploring the limits of transfer learning with a unified text-to-text transformer. </w:t>
      </w:r>
      <w:r w:rsidDel="00000000" w:rsidR="00000000" w:rsidRPr="00000000">
        <w:rPr>
          <w:rFonts w:ascii="Times New Roman" w:cs="Times New Roman" w:eastAsia="Times New Roman" w:hAnsi="Times New Roman"/>
          <w:i w:val="1"/>
          <w:iCs w:val="1"/>
          <w:sz w:val="24"/>
          <w:szCs w:val="24"/>
          <w:rtl w:val="0"/>
        </w:rPr>
        <w:t xml:space="preserve">Journal of Machine Learning Research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Cotiviti. (n.d.). </w:t>
      </w:r>
      <w:r w:rsidDel="00000000" w:rsidR="00000000" w:rsidRPr="00000000">
        <w:rPr>
          <w:rFonts w:ascii="Times New Roman" w:cs="Times New Roman" w:eastAsia="Times New Roman" w:hAnsi="Times New Roman"/>
          <w:i w:val="1"/>
          <w:iCs w:val="1"/>
          <w:sz w:val="24"/>
          <w:szCs w:val="24"/>
          <w:rtl w:val="0"/>
        </w:rPr>
        <w:t xml:space="preserve">Payment integrity solutions overview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